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D497DE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D189D">
        <w:rPr>
          <w:rFonts w:ascii="Azo Sans Md" w:hAnsi="Azo Sans Md" w:cstheme="minorHAnsi"/>
          <w:b/>
          <w:bCs/>
          <w:sz w:val="22"/>
          <w:szCs w:val="22"/>
        </w:rPr>
        <w:t>1</w:t>
      </w:r>
      <w:r w:rsidR="005A25F3">
        <w:rPr>
          <w:rFonts w:ascii="Azo Sans Md" w:hAnsi="Azo Sans Md" w:cstheme="minorHAnsi"/>
          <w:b/>
          <w:bCs/>
          <w:sz w:val="22"/>
          <w:szCs w:val="22"/>
        </w:rPr>
        <w:t>6.625</w:t>
      </w:r>
      <w:r w:rsidR="006E175D">
        <w:rPr>
          <w:rFonts w:ascii="Azo Sans Md" w:hAnsi="Azo Sans Md" w:cstheme="minorHAnsi"/>
          <w:b/>
          <w:bCs/>
          <w:sz w:val="22"/>
          <w:szCs w:val="22"/>
        </w:rPr>
        <w:t>/202</w:t>
      </w:r>
      <w:r w:rsidR="00E33636">
        <w:rPr>
          <w:rFonts w:ascii="Azo Sans Md" w:hAnsi="Azo Sans Md" w:cstheme="minorHAnsi"/>
          <w:b/>
          <w:bCs/>
          <w:sz w:val="22"/>
          <w:szCs w:val="22"/>
        </w:rPr>
        <w:t>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C44D4F">
        <w:rPr>
          <w:rFonts w:ascii="Azo Sans Md" w:hAnsi="Azo Sans Md" w:cstheme="minorHAnsi"/>
          <w:b/>
          <w:bCs/>
          <w:sz w:val="22"/>
          <w:szCs w:val="22"/>
        </w:rPr>
        <w:t>2</w:t>
      </w:r>
      <w:r w:rsidR="00B23566">
        <w:rPr>
          <w:rFonts w:ascii="Azo Sans Md" w:hAnsi="Azo Sans Md" w:cstheme="minorHAnsi"/>
          <w:b/>
          <w:bCs/>
          <w:sz w:val="22"/>
          <w:szCs w:val="22"/>
        </w:rPr>
        <w:t>50</w:t>
      </w:r>
      <w:r w:rsidR="002351F6">
        <w:rPr>
          <w:rFonts w:ascii="Azo Sans Md" w:hAnsi="Azo Sans Md" w:cstheme="minorHAnsi"/>
          <w:b/>
          <w:bCs/>
          <w:sz w:val="22"/>
          <w:szCs w:val="22"/>
        </w:rPr>
        <w:t>/</w:t>
      </w:r>
      <w:r w:rsidR="00043FA7">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0F079DF"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B963D9" w:rsidRPr="00B963D9">
        <w:rPr>
          <w:rFonts w:ascii="Azo Sans Md" w:hAnsi="Azo Sans Md"/>
          <w:spacing w:val="-3"/>
          <w:w w:val="115"/>
        </w:rPr>
        <w:t>AQUISIÇÃO DE MATERIAIS PARA ENDOSCOPIA, para atender as necessidades do Hospital Municipal Raul Sertã, pelo período de 12 (doze) meses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77A55C62" w:rsidR="00814BB1" w:rsidRPr="00814BB1" w:rsidRDefault="006E175D"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E175D">
        <w:rPr>
          <w:rFonts w:ascii="Azo Sans Lt" w:hAnsi="Azo Sans Lt" w:cstheme="minorHAnsi"/>
          <w:bCs/>
          <w:iCs/>
          <w:lang w:val="pt-BR"/>
        </w:rPr>
        <w:t>As despesas decorrentes da aquisição dos objetos previstos no presente Termo de Referência correrão por conta do elemento de despesa e fonte de recurso abaixo descritos</w:t>
      </w:r>
      <w:r>
        <w:rPr>
          <w:rFonts w:ascii="Azo Sans Lt" w:hAnsi="Azo Sans Lt" w:cstheme="minorHAnsi"/>
          <w:bCs/>
          <w:iCs/>
          <w:lang w:val="pt-BR"/>
        </w:rPr>
        <w:t>:</w:t>
      </w:r>
    </w:p>
    <w:p w14:paraId="0BCBF7D3" w14:textId="1F179334" w:rsidR="00E33636" w:rsidRPr="004A55C8" w:rsidRDefault="00E33636" w:rsidP="00E33636">
      <w:pPr>
        <w:pStyle w:val="PargrafodaLista"/>
        <w:numPr>
          <w:ilvl w:val="2"/>
          <w:numId w:val="34"/>
        </w:numPr>
        <w:spacing w:before="0" w:line="348" w:lineRule="auto"/>
        <w:jc w:val="both"/>
        <w:rPr>
          <w:rFonts w:ascii="Azo Sans Md" w:hAnsi="Azo Sans Md" w:cs="Arial"/>
          <w:b/>
          <w:bCs/>
          <w:w w:val="110"/>
          <w:lang w:val="pt-BR"/>
        </w:rPr>
      </w:pPr>
      <w:r w:rsidRPr="004A55C8">
        <w:rPr>
          <w:rFonts w:ascii="Azo Sans Md" w:hAnsi="Azo Sans Md" w:cs="Arial"/>
          <w:b/>
          <w:bCs/>
          <w:w w:val="110"/>
          <w:lang w:val="pt-BR"/>
        </w:rPr>
        <w:t xml:space="preserve">Elemento de Despesa – </w:t>
      </w:r>
      <w:r w:rsidR="00C10F2B" w:rsidRPr="00C10F2B">
        <w:rPr>
          <w:b/>
          <w:bCs/>
        </w:rPr>
        <w:t>33.90.30.08</w:t>
      </w:r>
      <w:r w:rsidR="00C10F2B" w:rsidRPr="004A55C8">
        <w:rPr>
          <w:rFonts w:ascii="Azo Sans Md" w:hAnsi="Azo Sans Md" w:cs="Arial"/>
          <w:b/>
          <w:bCs/>
          <w:w w:val="110"/>
          <w:lang w:val="pt-BR"/>
        </w:rPr>
        <w:t xml:space="preserve"> </w:t>
      </w:r>
    </w:p>
    <w:p w14:paraId="0031A0C5" w14:textId="7BDC86B6" w:rsidR="00E33636" w:rsidRDefault="00E33636" w:rsidP="00E33636">
      <w:pPr>
        <w:pStyle w:val="PargrafodaLista"/>
        <w:numPr>
          <w:ilvl w:val="2"/>
          <w:numId w:val="34"/>
        </w:numPr>
        <w:spacing w:before="0" w:line="348" w:lineRule="auto"/>
        <w:jc w:val="both"/>
        <w:rPr>
          <w:rFonts w:ascii="Azo Sans Md" w:hAnsi="Azo Sans Md" w:cs="Arial"/>
          <w:b/>
          <w:bCs/>
          <w:w w:val="110"/>
          <w:lang w:val="pt-BR"/>
        </w:rPr>
      </w:pPr>
      <w:r w:rsidRPr="00191284">
        <w:rPr>
          <w:rFonts w:ascii="Azo Sans Md" w:hAnsi="Azo Sans Md" w:cs="Arial"/>
          <w:b/>
          <w:bCs/>
          <w:w w:val="110"/>
          <w:lang w:val="pt-BR"/>
        </w:rPr>
        <w:t xml:space="preserve">Fonte de Recurso – </w:t>
      </w:r>
      <w:r>
        <w:rPr>
          <w:rFonts w:ascii="Azo Sans Md" w:hAnsi="Azo Sans Md" w:cs="Arial"/>
          <w:b/>
          <w:bCs/>
          <w:w w:val="110"/>
          <w:lang w:val="pt-BR"/>
        </w:rPr>
        <w:t>160</w:t>
      </w:r>
      <w:r w:rsidR="00C10F2B">
        <w:rPr>
          <w:rFonts w:ascii="Azo Sans Md" w:hAnsi="Azo Sans Md" w:cs="Arial"/>
          <w:b/>
          <w:bCs/>
          <w:w w:val="110"/>
          <w:lang w:val="pt-BR"/>
        </w:rPr>
        <w:t>0</w:t>
      </w:r>
      <w:r w:rsidRPr="00191284">
        <w:rPr>
          <w:rFonts w:ascii="Azo Sans Md" w:hAnsi="Azo Sans Md" w:cs="Arial"/>
          <w:b/>
          <w:bCs/>
          <w:w w:val="110"/>
          <w:lang w:val="pt-BR"/>
        </w:rPr>
        <w:t xml:space="preserve"> – SUS</w:t>
      </w:r>
    </w:p>
    <w:p w14:paraId="0AF15573" w14:textId="77777777" w:rsidR="00E33636" w:rsidRPr="008014EA" w:rsidRDefault="00E33636" w:rsidP="00E33636">
      <w:pPr>
        <w:pStyle w:val="PargrafodaLista"/>
        <w:numPr>
          <w:ilvl w:val="1"/>
          <w:numId w:val="33"/>
        </w:numPr>
        <w:spacing w:before="0" w:line="348" w:lineRule="auto"/>
        <w:ind w:left="284" w:firstLine="0"/>
        <w:jc w:val="both"/>
        <w:rPr>
          <w:rFonts w:ascii="Azo Sans Md" w:hAnsi="Azo Sans Md" w:cs="Arial"/>
          <w:bCs/>
          <w:iCs/>
          <w:w w:val="110"/>
        </w:rPr>
      </w:pPr>
      <w:r w:rsidRPr="008014EA">
        <w:rPr>
          <w:rFonts w:ascii="Azo Sans Md" w:hAnsi="Azo Sans Md" w:cs="Arial"/>
          <w:b/>
          <w:w w:val="110"/>
          <w:lang w:val="pt-BR"/>
        </w:rPr>
        <w:t xml:space="preserve"> </w:t>
      </w:r>
      <w:r w:rsidRPr="008014EA">
        <w:rPr>
          <w:rFonts w:ascii="Azo Sans Md" w:hAnsi="Azo Sans Md" w:cs="Arial"/>
          <w:bCs/>
          <w:iCs/>
          <w:w w:val="110"/>
          <w:lang w:val="pt-BR"/>
        </w:rPr>
        <w:t>Quanto aos Programas de Trabalho, serão utilizados de acordo com as especificações a      seguir</w:t>
      </w:r>
      <w:r w:rsidRPr="008014EA">
        <w:rPr>
          <w:rFonts w:ascii="Azo Sans Md" w:hAnsi="Azo Sans Md" w:cs="Arial"/>
          <w:bCs/>
          <w:iCs/>
          <w:w w:val="110"/>
        </w:rPr>
        <w:t>:</w:t>
      </w:r>
    </w:p>
    <w:p w14:paraId="301A7521" w14:textId="5B6F44FE" w:rsidR="00814BB1" w:rsidRPr="00E33636" w:rsidRDefault="00E33636" w:rsidP="00E33636">
      <w:pPr>
        <w:pStyle w:val="PargrafodaLista"/>
        <w:numPr>
          <w:ilvl w:val="2"/>
          <w:numId w:val="34"/>
        </w:numPr>
        <w:spacing w:before="0" w:line="348" w:lineRule="auto"/>
        <w:jc w:val="both"/>
        <w:rPr>
          <w:rFonts w:ascii="Azo Sans Md" w:hAnsi="Azo Sans Md" w:cs="Arial"/>
          <w:b/>
          <w:w w:val="110"/>
          <w:lang w:val="pt-BR"/>
        </w:rPr>
      </w:pPr>
      <w:r w:rsidRPr="008014EA">
        <w:rPr>
          <w:rFonts w:ascii="Azo Sans Md" w:hAnsi="Azo Sans Md" w:cs="Arial"/>
          <w:b/>
          <w:w w:val="110"/>
          <w:lang w:val="pt-BR"/>
        </w:rPr>
        <w:t xml:space="preserve"> </w:t>
      </w:r>
      <w:r w:rsidR="00C10F2B" w:rsidRPr="00C10F2B">
        <w:rPr>
          <w:rFonts w:cs="Arial"/>
          <w:b/>
          <w:bCs/>
        </w:rPr>
        <w:t>Hospital Municipal Raul Sertã – 30001.10.302.0085.2.202</w:t>
      </w:r>
      <w:r w:rsidRPr="008014EA">
        <w:rPr>
          <w:rFonts w:ascii="Azo Sans Md" w:hAnsi="Azo Sans Md" w:cs="Arial"/>
          <w:b/>
          <w:bCs/>
          <w:w w:val="110"/>
          <w:lang w:val="pt-BR"/>
        </w:rPr>
        <w:t>;</w:t>
      </w:r>
    </w:p>
    <w:p w14:paraId="2CD253DA" w14:textId="3638AF3F" w:rsidR="00814BB1" w:rsidRDefault="006E175D"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rPr>
      </w:pPr>
      <w:r w:rsidRPr="006E175D">
        <w:rPr>
          <w:rFonts w:ascii="Azo Sans Lt" w:hAnsi="Azo Sans Lt" w:cstheme="minorHAnsi"/>
          <w:bCs/>
          <w:iCs/>
          <w:lang w:val="pt-BR"/>
        </w:rPr>
        <w:t xml:space="preserve">As notas fiscais deverão ser emitidas em nome do </w:t>
      </w:r>
      <w:r w:rsidRPr="006E175D">
        <w:rPr>
          <w:rFonts w:ascii="Azo Sans Lt" w:hAnsi="Azo Sans Lt" w:cstheme="minorHAnsi"/>
          <w:b/>
          <w:iCs/>
          <w:lang w:val="pt-BR"/>
        </w:rPr>
        <w:t>FUNDO MUNICIPAL DE SAÚDE, CNPJ: 11.399.442/0001-79, AVENIDA ALBERTO BRAUNE, 224, SALA 221, CENTRO, NOVA FRIBURGO/RJ, CEP 28613-001</w:t>
      </w:r>
      <w:r w:rsidR="00814BB1" w:rsidRPr="006E175D">
        <w:rPr>
          <w:rFonts w:ascii="Azo Sans Lt" w:hAnsi="Azo Sans Lt" w:cstheme="minorHAnsi"/>
          <w:b/>
          <w:iCs/>
        </w:rPr>
        <w:t>.</w:t>
      </w:r>
    </w:p>
    <w:p w14:paraId="37A7E226" w14:textId="4F486B73" w:rsidR="00B7341B" w:rsidRPr="006E175D" w:rsidRDefault="00B734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rPr>
      </w:pPr>
      <w:r w:rsidRPr="00B7341B">
        <w:rPr>
          <w:rFonts w:ascii="Azo Sans Lt" w:hAnsi="Azo Sans Lt" w:cstheme="minorHAnsi"/>
          <w:b/>
          <w:bCs/>
          <w:iCs/>
          <w:lang w:val="pt-BR"/>
        </w:rPr>
        <w:t>A contratada deverá emitir Notas Fiscais distintas para cada emenda parlamentar conforme especificado no item 4 do presente Termo de Referência</w:t>
      </w:r>
      <w:r>
        <w:rPr>
          <w:rFonts w:ascii="Azo Sans Lt" w:hAnsi="Azo Sans Lt" w:cstheme="minorHAnsi"/>
          <w:b/>
          <w:bCs/>
          <w:iCs/>
          <w:lang w:val="pt-BR"/>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0BA1EFA7" w:rsidR="00064A3F" w:rsidRPr="00814BB1" w:rsidRDefault="00B734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7341B">
        <w:rPr>
          <w:rFonts w:ascii="Azo Sans Lt" w:hAnsi="Azo Sans Lt" w:cstheme="minorHAnsi"/>
          <w:bCs/>
          <w:iCs/>
          <w:lang w:val="pt-BR"/>
        </w:rPr>
        <w:t>O pagamento será efetuado conforme estabelece o Decreto 258 de 27 de setembro de 2018 e suas modificações definidas no decreto 313 de 10 de outubro de 2019, desde que as certidões listadas abaixo estejam dentro da validade</w:t>
      </w:r>
      <w:r w:rsidR="00D27AFB" w:rsidRPr="00D27AFB">
        <w:rPr>
          <w:rFonts w:ascii="Azo Sans Lt" w:hAnsi="Azo Sans Lt" w:cstheme="minorHAnsi"/>
          <w:bCs/>
          <w:iCs/>
          <w:lang w:val="pt-BR"/>
        </w:rPr>
        <w:t>:</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2C04821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lastRenderedPageBreak/>
        <w:t>PGE – referente à Dívida Ativ</w:t>
      </w:r>
      <w:r w:rsidR="002351F6">
        <w:rPr>
          <w:rFonts w:ascii="Azo Sans Lt" w:hAnsi="Azo Sans Lt" w:cstheme="minorHAnsi"/>
        </w:rPr>
        <w:t>a</w:t>
      </w:r>
      <w:r w:rsidRPr="00064A3F">
        <w:rPr>
          <w:rFonts w:ascii="Azo Sans Lt" w:hAnsi="Azo Sans Lt" w:cstheme="minorHAnsi"/>
        </w:rPr>
        <w:t>;</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2F9513C7" w:rsidR="00436587" w:rsidRPr="00814BB1" w:rsidRDefault="00B734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7341B">
        <w:rPr>
          <w:rFonts w:ascii="Azo Sans Lt" w:hAnsi="Azo Sans Lt" w:cstheme="minorHAnsi"/>
          <w:bCs/>
          <w:iCs/>
          <w:lang w:val="pt-BR"/>
        </w:rPr>
        <w:t>A Nota Fiscal de Serviço deverá conter a identificação do Banco, número da Agência e da Conta-Corrente, para que a Contratante possa efetuar o pagamento do valor devido</w:t>
      </w:r>
      <w:r w:rsidR="002351F6">
        <w:rPr>
          <w:rFonts w:ascii="Azo Sans Lt" w:hAnsi="Azo Sans Lt" w:cstheme="minorHAnsi"/>
          <w:bCs/>
          <w:iCs/>
          <w:lang w:val="pt-BR"/>
        </w:rPr>
        <w:t>.</w:t>
      </w:r>
      <w:r w:rsidR="00436587" w:rsidRPr="00814BB1">
        <w:rPr>
          <w:rFonts w:ascii="Azo Sans Lt" w:hAnsi="Azo Sans Lt" w:cstheme="minorHAnsi"/>
          <w:bCs/>
          <w:iCs/>
        </w:rPr>
        <w:t xml:space="preserve"> </w:t>
      </w:r>
    </w:p>
    <w:p w14:paraId="36DCCBD8" w14:textId="61078C6D" w:rsidR="005466C3" w:rsidRDefault="00B734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7341B">
        <w:rPr>
          <w:rFonts w:ascii="Azo Sans Lt" w:hAnsi="Azo Sans Lt" w:cstheme="minorHAnsi"/>
          <w:bCs/>
          <w:iCs/>
          <w:lang w:val="pt-BR"/>
        </w:rPr>
        <w:t>Na ocorrência de rejeição da Nota Fiscal,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2027BEB9"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30CA0">
        <w:rPr>
          <w:rFonts w:ascii="Azo Sans Lt" w:hAnsi="Azo Sans Lt" w:cstheme="minorHAnsi"/>
          <w:sz w:val="22"/>
          <w:szCs w:val="22"/>
        </w:rPr>
        <w:t>–</w:t>
      </w:r>
      <w:r w:rsidR="001D32DF" w:rsidRPr="00385663">
        <w:rPr>
          <w:rFonts w:ascii="Azo Sans Lt" w:hAnsi="Azo Sans Lt" w:cstheme="minorHAnsi"/>
          <w:sz w:val="22"/>
          <w:szCs w:val="22"/>
        </w:rPr>
        <w:t xml:space="preserve"> </w:t>
      </w:r>
      <w:r w:rsidR="00B30CA0">
        <w:rPr>
          <w:rFonts w:ascii="Azo Sans Lt" w:hAnsi="Azo Sans Lt" w:cstheme="minorHAnsi"/>
          <w:sz w:val="22"/>
          <w:szCs w:val="22"/>
        </w:rPr>
        <w:t xml:space="preserve">FORNECIMENTO </w:t>
      </w:r>
      <w:r w:rsidR="001D32DF" w:rsidRPr="00385663">
        <w:rPr>
          <w:rFonts w:ascii="Azo Sans Lt" w:hAnsi="Azo Sans Lt" w:cstheme="minorHAnsi"/>
          <w:sz w:val="22"/>
          <w:szCs w:val="22"/>
        </w:rPr>
        <w:t>DO OBJETO</w:t>
      </w:r>
    </w:p>
    <w:p w14:paraId="535A09DC" w14:textId="1A37A81F" w:rsidR="00F30FF9" w:rsidRPr="00B7341B" w:rsidRDefault="00B30CA0" w:rsidP="002351F6">
      <w:pPr>
        <w:numPr>
          <w:ilvl w:val="1"/>
          <w:numId w:val="27"/>
        </w:numPr>
        <w:spacing w:before="120" w:after="120" w:line="276" w:lineRule="auto"/>
        <w:rPr>
          <w:rFonts w:ascii="Azo Sans Lt" w:hAnsi="Azo Sans Lt" w:cstheme="minorHAnsi"/>
          <w:bCs/>
          <w:lang w:val="pt-BR"/>
        </w:rPr>
      </w:pPr>
      <w:r w:rsidRPr="00B30CA0">
        <w:rPr>
          <w:rFonts w:ascii="Azo Sans Lt" w:hAnsi="Azo Sans Lt" w:cstheme="minorHAnsi"/>
          <w:bCs/>
          <w:iCs/>
          <w:lang w:val="pt-BR"/>
        </w:rPr>
        <w:t xml:space="preserve"> </w:t>
      </w:r>
      <w:r w:rsidR="00B7341B" w:rsidRPr="00B7341B">
        <w:rPr>
          <w:rFonts w:ascii="Azo Sans Lt" w:hAnsi="Azo Sans Lt" w:cstheme="minorHAnsi"/>
          <w:bCs/>
          <w:lang w:val="pt-BR"/>
        </w:rPr>
        <w:t>QUANTITATIVOS E LOCAIS DE ENTREGA</w:t>
      </w:r>
    </w:p>
    <w:p w14:paraId="518EF846" w14:textId="77777777" w:rsidR="005B09CF" w:rsidRPr="005B09CF" w:rsidRDefault="006658BB" w:rsidP="00567DFC">
      <w:pPr>
        <w:numPr>
          <w:ilvl w:val="1"/>
          <w:numId w:val="27"/>
        </w:numPr>
        <w:spacing w:before="120" w:after="120" w:line="276" w:lineRule="auto"/>
        <w:jc w:val="both"/>
        <w:rPr>
          <w:rFonts w:ascii="Azo Sans Lt" w:hAnsi="Azo Sans Lt" w:cstheme="minorHAnsi"/>
          <w:bCs/>
          <w:iCs/>
          <w:lang w:val="pt-BR"/>
        </w:rPr>
      </w:pPr>
      <w:r w:rsidRPr="00382DD6">
        <w:rPr>
          <w:rFonts w:ascii="Azo Sans Lt" w:hAnsi="Azo Sans Lt" w:cstheme="minorHAnsi"/>
          <w:lang w:val="pt-BR"/>
        </w:rPr>
        <w:t>Os itens deverão ser entregues n</w:t>
      </w:r>
      <w:r w:rsidR="00382DD6">
        <w:rPr>
          <w:rFonts w:ascii="Azo Sans Lt" w:hAnsi="Azo Sans Lt" w:cstheme="minorHAnsi"/>
          <w:lang w:val="pt-BR"/>
        </w:rPr>
        <w:t>o</w:t>
      </w:r>
      <w:r w:rsidRPr="00382DD6">
        <w:rPr>
          <w:rFonts w:ascii="Azo Sans Lt" w:hAnsi="Azo Sans Lt" w:cstheme="minorHAnsi"/>
          <w:lang w:val="pt-BR"/>
        </w:rPr>
        <w:t xml:space="preserve"> </w:t>
      </w:r>
      <w:bookmarkStart w:id="0" w:name="__DdeLink__6866_375360656"/>
      <w:r w:rsidR="00382DD6">
        <w:rPr>
          <w:b/>
          <w:bCs/>
        </w:rPr>
        <w:t>ALMOXARIFADO DO HOSPITAL MUNICIPAL RAUL SERTÃ</w:t>
      </w:r>
      <w:r w:rsidR="00382DD6">
        <w:t xml:space="preserve"> – Rua General Osório, nº 324 – Centro – Nova Friburgo/RJ, </w:t>
      </w:r>
      <w:r w:rsidR="00382DD6">
        <w:rPr>
          <w:rFonts w:cs="Miriam"/>
        </w:rPr>
        <w:t>nos horários de 09:00h às 16</w:t>
      </w:r>
      <w:bookmarkEnd w:id="0"/>
      <w:r w:rsidR="00382DD6">
        <w:rPr>
          <w:rFonts w:cs="Miriam"/>
        </w:rPr>
        <w:t>:00h</w:t>
      </w:r>
    </w:p>
    <w:p w14:paraId="60A252BE" w14:textId="7D58C51E" w:rsidR="00B7341B" w:rsidRPr="00382DD6" w:rsidRDefault="00B7341B" w:rsidP="00567DFC">
      <w:pPr>
        <w:numPr>
          <w:ilvl w:val="1"/>
          <w:numId w:val="27"/>
        </w:numPr>
        <w:spacing w:before="120" w:after="120" w:line="276" w:lineRule="auto"/>
        <w:jc w:val="both"/>
        <w:rPr>
          <w:rFonts w:ascii="Azo Sans Lt" w:hAnsi="Azo Sans Lt" w:cstheme="minorHAnsi"/>
          <w:bCs/>
          <w:iCs/>
          <w:lang w:val="pt-BR"/>
        </w:rPr>
      </w:pPr>
      <w:r w:rsidRPr="00382DD6">
        <w:rPr>
          <w:rFonts w:ascii="Azo Sans Lt" w:hAnsi="Azo Sans Lt" w:cstheme="minorHAnsi"/>
          <w:bCs/>
          <w:iCs/>
          <w:lang w:val="pt-BR"/>
        </w:rPr>
        <w:t>PRAZOS E CONDIÇÕES DE ENTREGA</w:t>
      </w:r>
    </w:p>
    <w:p w14:paraId="1814C8E1" w14:textId="7EA1079F" w:rsidR="00B7341B" w:rsidRPr="00B7341B" w:rsidRDefault="00B7341B" w:rsidP="00B7341B">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 xml:space="preserve">A empresa vencedora deverá realizar a entrega dos itens de forma imediata, no prazo máximo de </w:t>
      </w:r>
      <w:r w:rsidR="0082060C">
        <w:rPr>
          <w:rFonts w:ascii="Azo Sans Lt" w:hAnsi="Azo Sans Lt" w:cstheme="minorHAnsi"/>
          <w:bCs/>
          <w:iCs/>
          <w:lang w:val="pt-BR"/>
        </w:rPr>
        <w:t>10</w:t>
      </w:r>
      <w:r w:rsidRPr="00B7341B">
        <w:rPr>
          <w:rFonts w:ascii="Azo Sans Lt" w:hAnsi="Azo Sans Lt" w:cstheme="minorHAnsi"/>
          <w:bCs/>
          <w:iCs/>
          <w:lang w:val="pt-BR"/>
        </w:rPr>
        <w:t xml:space="preserve"> dias, após o recebimento/notificação da Nota de Empenho.</w:t>
      </w:r>
    </w:p>
    <w:p w14:paraId="706B30F5" w14:textId="640C4767" w:rsidR="00B7341B" w:rsidRPr="00B7341B" w:rsidRDefault="00B7341B" w:rsidP="00B7341B">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A entrega deverá ser realizada no horário e local descritos no</w:t>
      </w:r>
      <w:r w:rsidR="006658BB">
        <w:rPr>
          <w:rFonts w:ascii="Azo Sans Lt" w:hAnsi="Azo Sans Lt" w:cstheme="minorHAnsi"/>
          <w:bCs/>
          <w:iCs/>
          <w:lang w:val="pt-BR"/>
        </w:rPr>
        <w:t xml:space="preserve"> item</w:t>
      </w:r>
      <w:r w:rsidRPr="00B7341B">
        <w:rPr>
          <w:rFonts w:ascii="Azo Sans Lt" w:hAnsi="Azo Sans Lt" w:cstheme="minorHAnsi"/>
          <w:bCs/>
          <w:iCs/>
          <w:lang w:val="pt-BR"/>
        </w:rPr>
        <w:t xml:space="preserve"> 4 d</w:t>
      </w:r>
      <w:r w:rsidR="00FF7286">
        <w:rPr>
          <w:rFonts w:ascii="Azo Sans Lt" w:hAnsi="Azo Sans Lt" w:cstheme="minorHAnsi"/>
          <w:bCs/>
          <w:iCs/>
          <w:lang w:val="pt-BR"/>
        </w:rPr>
        <w:t>o</w:t>
      </w:r>
      <w:r w:rsidRPr="00B7341B">
        <w:rPr>
          <w:rFonts w:ascii="Azo Sans Lt" w:hAnsi="Azo Sans Lt" w:cstheme="minorHAnsi"/>
          <w:bCs/>
          <w:iCs/>
          <w:lang w:val="pt-BR"/>
        </w:rPr>
        <w:t xml:space="preserve"> Termo de Referência.</w:t>
      </w:r>
    </w:p>
    <w:p w14:paraId="5B42234F" w14:textId="0FBB9C5D" w:rsidR="00B7341B" w:rsidRPr="00B7341B" w:rsidRDefault="00B7341B" w:rsidP="00B7341B">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A falta do produto não poderá ser alegada como motivo de força maior para o atraso, má execução ou inexecução do fornecimento objeto d</w:t>
      </w:r>
      <w:r w:rsidR="00FF7286">
        <w:rPr>
          <w:rFonts w:ascii="Azo Sans Lt" w:hAnsi="Azo Sans Lt" w:cstheme="minorHAnsi"/>
          <w:bCs/>
          <w:iCs/>
          <w:lang w:val="pt-BR"/>
        </w:rPr>
        <w:t>o</w:t>
      </w:r>
      <w:r w:rsidRPr="00B7341B">
        <w:rPr>
          <w:rFonts w:ascii="Azo Sans Lt" w:hAnsi="Azo Sans Lt" w:cstheme="minorHAnsi"/>
          <w:bCs/>
          <w:iCs/>
          <w:lang w:val="pt-BR"/>
        </w:rPr>
        <w:t xml:space="preserve"> Termo de Referência, e não eximirá a fornecedora das sanções a que está sujeita pelo não cumprimento dos prazos e demais condições estabelecidas.</w:t>
      </w:r>
    </w:p>
    <w:p w14:paraId="135174BB" w14:textId="50325EC9" w:rsidR="00B7341B" w:rsidRPr="00B7341B" w:rsidRDefault="00B7341B" w:rsidP="00B7341B">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Em hipótese alguma serão aceitos produtos em desacordo com as condições pactuadas, ficando sob responsabilidade da empresa vencedora o controle de qualidade do fornecimento, bem como a repetição, às suas próprias custas, para correção de falhas, visando à apresentação da qualidade e resultados requisitados.</w:t>
      </w:r>
    </w:p>
    <w:p w14:paraId="61F9581D" w14:textId="5F3234FD" w:rsidR="00B7341B" w:rsidRDefault="00B7341B" w:rsidP="00B7341B">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A empresa vencedora ficará sujeita as seguintes condições:</w:t>
      </w:r>
    </w:p>
    <w:p w14:paraId="6A4A1468" w14:textId="77777777" w:rsidR="00B7341B" w:rsidRPr="00B7341B" w:rsidRDefault="00B7341B" w:rsidP="00B7341B">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lastRenderedPageBreak/>
        <w:t xml:space="preserve">Entregar os produtos contendo, em sua embalagem, a data de fabricação, </w:t>
      </w:r>
      <w:proofErr w:type="gramStart"/>
      <w:r w:rsidRPr="00B7341B">
        <w:rPr>
          <w:rFonts w:ascii="Azo Sans Lt" w:hAnsi="Azo Sans Lt" w:cstheme="minorHAnsi"/>
          <w:bCs/>
          <w:iCs/>
          <w:lang w:val="pt-BR"/>
        </w:rPr>
        <w:t>validade  e</w:t>
      </w:r>
      <w:proofErr w:type="gramEnd"/>
      <w:r w:rsidRPr="00B7341B">
        <w:rPr>
          <w:rFonts w:ascii="Azo Sans Lt" w:hAnsi="Azo Sans Lt" w:cstheme="minorHAnsi"/>
          <w:bCs/>
          <w:iCs/>
          <w:lang w:val="pt-BR"/>
        </w:rPr>
        <w:t>/ou vida útil;</w:t>
      </w:r>
    </w:p>
    <w:p w14:paraId="36FDB857" w14:textId="7C54FEE1" w:rsidR="00B7341B" w:rsidRPr="00B7341B" w:rsidRDefault="00B7341B" w:rsidP="00B7341B">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Seguir programação do órgão requisitante, quanto à data, horário, local e quantidade a serem entregues;</w:t>
      </w:r>
    </w:p>
    <w:p w14:paraId="299E29E0" w14:textId="33C24204" w:rsidR="00B7341B" w:rsidRDefault="00B7341B" w:rsidP="00B7341B">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 xml:space="preserve">Comprometer-se a dar total garantia quanto à qualidade dos materiais fornecidos, bem como efetuar a substituição, e totalmente às suas expensas, de qualquer produto entregue comprovadamente em desacordo com </w:t>
      </w:r>
      <w:r w:rsidR="00FF7286">
        <w:rPr>
          <w:rFonts w:ascii="Azo Sans Lt" w:hAnsi="Azo Sans Lt" w:cstheme="minorHAnsi"/>
          <w:bCs/>
          <w:iCs/>
          <w:lang w:val="pt-BR"/>
        </w:rPr>
        <w:t>o</w:t>
      </w:r>
      <w:r w:rsidRPr="00B7341B">
        <w:rPr>
          <w:rFonts w:ascii="Azo Sans Lt" w:hAnsi="Azo Sans Lt" w:cstheme="minorHAnsi"/>
          <w:bCs/>
          <w:iCs/>
          <w:lang w:val="pt-BR"/>
        </w:rPr>
        <w:t xml:space="preserve"> Termo de Referência, ou seja, fora das especificações técnicas e padrões de qualidade bem como com defeitos no prazo máximo de 07 dias úteis após ser notificada</w:t>
      </w:r>
      <w:r>
        <w:rPr>
          <w:rFonts w:ascii="Azo Sans Lt" w:hAnsi="Azo Sans Lt" w:cstheme="minorHAnsi"/>
          <w:bCs/>
          <w:iCs/>
          <w:lang w:val="pt-BR"/>
        </w:rPr>
        <w:t>.</w:t>
      </w:r>
    </w:p>
    <w:p w14:paraId="1FD339D9" w14:textId="77777777" w:rsidR="00B7341B" w:rsidRPr="00B7341B" w:rsidRDefault="00B7341B" w:rsidP="00B7341B">
      <w:pPr>
        <w:numPr>
          <w:ilvl w:val="1"/>
          <w:numId w:val="27"/>
        </w:numPr>
        <w:spacing w:before="120" w:after="120" w:line="276" w:lineRule="auto"/>
        <w:rPr>
          <w:rFonts w:ascii="Azo Sans Lt" w:hAnsi="Azo Sans Lt" w:cstheme="minorHAnsi"/>
          <w:bCs/>
          <w:iCs/>
          <w:lang w:val="pt-BR"/>
        </w:rPr>
      </w:pPr>
      <w:r w:rsidRPr="00B7341B">
        <w:rPr>
          <w:rFonts w:ascii="Azo Sans Lt" w:hAnsi="Azo Sans Lt" w:cstheme="minorHAnsi"/>
          <w:bCs/>
          <w:iCs/>
          <w:lang w:val="pt-BR"/>
        </w:rPr>
        <w:t>RECEBIMENTO E CRITÉRIO DE ACEITAÇÃO DO OBJETO</w:t>
      </w:r>
    </w:p>
    <w:p w14:paraId="7DD60D11" w14:textId="7BE6E4C3"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Os bens serão recebidos</w:t>
      </w:r>
      <w:r>
        <w:rPr>
          <w:rFonts w:ascii="Azo Sans Lt" w:hAnsi="Azo Sans Lt" w:cstheme="minorHAnsi"/>
          <w:bCs/>
          <w:iCs/>
          <w:lang w:val="pt-BR"/>
        </w:rPr>
        <w:t>:</w:t>
      </w:r>
    </w:p>
    <w:p w14:paraId="0D0EBE55" w14:textId="1F40DE90" w:rsidR="00B7341B" w:rsidRPr="00B7341B" w:rsidRDefault="00B7341B" w:rsidP="00B7341B">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Provisoriamente, a partir da entrega e montagem/instalação, quando necessário, para efeitos de verificação da conformidade com as especificações constantes n</w:t>
      </w:r>
      <w:r w:rsidR="00FF7286">
        <w:rPr>
          <w:rFonts w:ascii="Azo Sans Lt" w:hAnsi="Azo Sans Lt" w:cstheme="minorHAnsi"/>
          <w:bCs/>
          <w:iCs/>
          <w:lang w:val="pt-BR"/>
        </w:rPr>
        <w:t>o</w:t>
      </w:r>
      <w:r w:rsidRPr="00B7341B">
        <w:rPr>
          <w:rFonts w:ascii="Azo Sans Lt" w:hAnsi="Azo Sans Lt" w:cstheme="minorHAnsi"/>
          <w:bCs/>
          <w:iCs/>
          <w:lang w:val="pt-BR"/>
        </w:rPr>
        <w:t xml:space="preserve"> Termo de Referência.</w:t>
      </w:r>
    </w:p>
    <w:p w14:paraId="7D18ADEB" w14:textId="72346C7D" w:rsidR="00B7341B" w:rsidRDefault="00B7341B" w:rsidP="00B7341B">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Definitivamente, após verificação da conformidade com as especificações constantes do edital e das propostas. Sua consequente aceitação, se dará em até 0</w:t>
      </w:r>
      <w:r w:rsidR="0020598F">
        <w:rPr>
          <w:rFonts w:ascii="Azo Sans Lt" w:hAnsi="Azo Sans Lt" w:cstheme="minorHAnsi"/>
          <w:bCs/>
          <w:iCs/>
          <w:lang w:val="pt-BR"/>
        </w:rPr>
        <w:t>2</w:t>
      </w:r>
      <w:r w:rsidRPr="00B7341B">
        <w:rPr>
          <w:rFonts w:ascii="Azo Sans Lt" w:hAnsi="Azo Sans Lt" w:cstheme="minorHAnsi"/>
          <w:bCs/>
          <w:iCs/>
          <w:lang w:val="pt-BR"/>
        </w:rPr>
        <w:t xml:space="preserve"> dias úteis a contar do recebimento provisório.</w:t>
      </w:r>
    </w:p>
    <w:p w14:paraId="2060F900" w14:textId="751186CE" w:rsidR="00482A09" w:rsidRDefault="00B7341B"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Na hipótese de a verificação a que se refere o subitem anterior não ser procedida dentro do prazo fixado, reputar-se á como realizada, consumando-se o recebimento provisório</w:t>
      </w:r>
      <w:r>
        <w:rPr>
          <w:rFonts w:ascii="Azo Sans Lt" w:hAnsi="Azo Sans Lt" w:cstheme="minorHAnsi"/>
          <w:bCs/>
          <w:iCs/>
          <w:lang w:val="pt-BR"/>
        </w:rPr>
        <w:t>.</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42EF0950" w14:textId="77777777" w:rsidR="00B7341B" w:rsidRPr="00B7341B" w:rsidRDefault="00B7341B" w:rsidP="00B734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 xml:space="preserve">O acompanhamento e a fiscalização da contratação serão exercidos por um representante da Contratante, ao qual competirá dirimir as dúvidas que surgirem no curso da entrega dos itens, e de tudo dará ciência à Administração, na forma dos artigos 67 e 73 da Lei nº. 8.666/93 e do artigo 6º do Decreto nº. 2.271, de 1997. </w:t>
      </w:r>
    </w:p>
    <w:p w14:paraId="76E473E7" w14:textId="4D564DB8" w:rsidR="00B7341B" w:rsidRDefault="00B7341B" w:rsidP="00B734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Para acompanhamento e fiscalização das obrigações contidas n</w:t>
      </w:r>
      <w:r w:rsidR="00FF7286">
        <w:rPr>
          <w:rFonts w:ascii="Azo Sans Lt" w:hAnsi="Azo Sans Lt" w:cstheme="minorHAnsi"/>
          <w:bCs/>
          <w:iCs/>
          <w:lang w:val="pt-BR"/>
        </w:rPr>
        <w:t>o</w:t>
      </w:r>
      <w:r w:rsidRPr="00B7341B">
        <w:rPr>
          <w:rFonts w:ascii="Azo Sans Lt" w:hAnsi="Azo Sans Lt" w:cstheme="minorHAnsi"/>
          <w:bCs/>
          <w:iCs/>
          <w:lang w:val="pt-BR"/>
        </w:rPr>
        <w:t xml:space="preserve"> Termo de Referência, ficam designados os agentes públicos abaixo informados</w:t>
      </w:r>
      <w:r>
        <w:rPr>
          <w:rFonts w:ascii="Azo Sans Lt" w:hAnsi="Azo Sans Lt" w:cstheme="minorHAnsi"/>
          <w:bCs/>
          <w:iCs/>
          <w:lang w:val="pt-BR"/>
        </w:rPr>
        <w:t>:</w:t>
      </w:r>
    </w:p>
    <w:p w14:paraId="02F07D10" w14:textId="77777777" w:rsidR="00B963D9" w:rsidRDefault="00B963D9" w:rsidP="00B734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p>
    <w:tbl>
      <w:tblPr>
        <w:tblW w:w="9072" w:type="dxa"/>
        <w:tblInd w:w="137" w:type="dxa"/>
        <w:tblLayout w:type="fixed"/>
        <w:tblCellMar>
          <w:left w:w="10" w:type="dxa"/>
          <w:right w:w="10" w:type="dxa"/>
        </w:tblCellMar>
        <w:tblLook w:val="04A0" w:firstRow="1" w:lastRow="0" w:firstColumn="1" w:lastColumn="0" w:noHBand="0" w:noVBand="1"/>
      </w:tblPr>
      <w:tblGrid>
        <w:gridCol w:w="4020"/>
        <w:gridCol w:w="2445"/>
        <w:gridCol w:w="2607"/>
      </w:tblGrid>
      <w:tr w:rsidR="00B963D9" w14:paraId="63F0A1F5" w14:textId="77777777" w:rsidTr="00B963D9">
        <w:trPr>
          <w:trHeight w:hRule="exact" w:val="900"/>
        </w:trPr>
        <w:tc>
          <w:tcPr>
            <w:tcW w:w="4020"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hideMark/>
          </w:tcPr>
          <w:p w14:paraId="0A0396B6" w14:textId="77777777" w:rsidR="00B963D9" w:rsidRDefault="00B963D9">
            <w:pPr>
              <w:pStyle w:val="Standard"/>
              <w:jc w:val="center"/>
              <w:rPr>
                <w:rFonts w:ascii="Times New Roman" w:eastAsia="Times New Roman" w:hAnsi="Times New Roman" w:cs="Times New Roman"/>
                <w:b/>
                <w:bCs/>
                <w:sz w:val="26"/>
                <w:szCs w:val="26"/>
                <w:lang w:eastAsia="pt-BR"/>
              </w:rPr>
            </w:pPr>
            <w:r>
              <w:rPr>
                <w:b/>
                <w:bCs/>
                <w:sz w:val="26"/>
                <w:szCs w:val="26"/>
              </w:rPr>
              <w:t>SERVIDOR</w:t>
            </w:r>
          </w:p>
        </w:tc>
        <w:tc>
          <w:tcPr>
            <w:tcW w:w="244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hideMark/>
          </w:tcPr>
          <w:p w14:paraId="46B96802" w14:textId="77777777" w:rsidR="00B963D9" w:rsidRDefault="00B963D9">
            <w:pPr>
              <w:pStyle w:val="Standard"/>
              <w:jc w:val="center"/>
              <w:rPr>
                <w:b/>
                <w:bCs/>
                <w:sz w:val="26"/>
                <w:szCs w:val="26"/>
              </w:rPr>
            </w:pPr>
            <w:r>
              <w:rPr>
                <w:b/>
                <w:bCs/>
                <w:sz w:val="26"/>
                <w:szCs w:val="26"/>
              </w:rPr>
              <w:t>MATRÍCULA</w:t>
            </w:r>
          </w:p>
        </w:tc>
        <w:tc>
          <w:tcPr>
            <w:tcW w:w="2607"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hideMark/>
          </w:tcPr>
          <w:p w14:paraId="51D7EECA" w14:textId="77777777" w:rsidR="00B963D9" w:rsidRDefault="00B963D9">
            <w:pPr>
              <w:pStyle w:val="Standard"/>
              <w:jc w:val="center"/>
              <w:rPr>
                <w:b/>
                <w:bCs/>
                <w:sz w:val="26"/>
                <w:szCs w:val="26"/>
              </w:rPr>
            </w:pPr>
            <w:r>
              <w:rPr>
                <w:b/>
                <w:bCs/>
                <w:sz w:val="26"/>
                <w:szCs w:val="26"/>
              </w:rPr>
              <w:t>DESIGNAÇÃO</w:t>
            </w:r>
          </w:p>
        </w:tc>
      </w:tr>
      <w:tr w:rsidR="00B963D9" w14:paraId="063715F7" w14:textId="77777777" w:rsidTr="00B963D9">
        <w:trPr>
          <w:trHeight w:hRule="exact" w:val="454"/>
        </w:trPr>
        <w:tc>
          <w:tcPr>
            <w:tcW w:w="4020" w:type="dxa"/>
            <w:tcBorders>
              <w:top w:val="nil"/>
              <w:left w:val="single" w:sz="4" w:space="0" w:color="000001"/>
              <w:bottom w:val="single" w:sz="4" w:space="0" w:color="000001"/>
              <w:right w:val="nil"/>
            </w:tcBorders>
            <w:tcMar>
              <w:top w:w="55" w:type="dxa"/>
              <w:left w:w="55" w:type="dxa"/>
              <w:bottom w:w="55" w:type="dxa"/>
              <w:right w:w="65" w:type="dxa"/>
            </w:tcMar>
            <w:vAlign w:val="center"/>
            <w:hideMark/>
          </w:tcPr>
          <w:p w14:paraId="21822765" w14:textId="77777777" w:rsidR="00B963D9" w:rsidRDefault="00B963D9">
            <w:pPr>
              <w:pStyle w:val="Standard"/>
              <w:jc w:val="center"/>
              <w:rPr>
                <w:sz w:val="24"/>
                <w:szCs w:val="24"/>
              </w:rPr>
            </w:pPr>
            <w:proofErr w:type="spellStart"/>
            <w:r>
              <w:t>Antonio</w:t>
            </w:r>
            <w:proofErr w:type="spellEnd"/>
            <w:r>
              <w:t xml:space="preserve"> Carlos Sant´Ana</w:t>
            </w:r>
          </w:p>
        </w:tc>
        <w:tc>
          <w:tcPr>
            <w:tcW w:w="2445" w:type="dxa"/>
            <w:tcBorders>
              <w:top w:val="nil"/>
              <w:left w:val="single" w:sz="4" w:space="0" w:color="000001"/>
              <w:bottom w:val="single" w:sz="4" w:space="0" w:color="000001"/>
              <w:right w:val="nil"/>
            </w:tcBorders>
            <w:tcMar>
              <w:top w:w="55" w:type="dxa"/>
              <w:left w:w="55" w:type="dxa"/>
              <w:bottom w:w="55" w:type="dxa"/>
              <w:right w:w="65" w:type="dxa"/>
            </w:tcMar>
            <w:vAlign w:val="center"/>
            <w:hideMark/>
          </w:tcPr>
          <w:p w14:paraId="192E1D0B" w14:textId="77777777" w:rsidR="00B963D9" w:rsidRDefault="00B963D9">
            <w:pPr>
              <w:pStyle w:val="Standard"/>
              <w:jc w:val="center"/>
            </w:pPr>
            <w:r>
              <w:t>207.630</w:t>
            </w:r>
          </w:p>
        </w:tc>
        <w:tc>
          <w:tcPr>
            <w:tcW w:w="2607" w:type="dxa"/>
            <w:tcBorders>
              <w:top w:val="nil"/>
              <w:left w:val="single" w:sz="4" w:space="0" w:color="000001"/>
              <w:bottom w:val="single" w:sz="4" w:space="0" w:color="000001"/>
              <w:right w:val="single" w:sz="4" w:space="0" w:color="000001"/>
            </w:tcBorders>
            <w:tcMar>
              <w:top w:w="55" w:type="dxa"/>
              <w:left w:w="55" w:type="dxa"/>
              <w:bottom w:w="55" w:type="dxa"/>
              <w:right w:w="65" w:type="dxa"/>
            </w:tcMar>
            <w:vAlign w:val="center"/>
            <w:hideMark/>
          </w:tcPr>
          <w:p w14:paraId="191CF030" w14:textId="77777777" w:rsidR="00B963D9" w:rsidRDefault="00B963D9">
            <w:pPr>
              <w:pStyle w:val="Standard"/>
              <w:jc w:val="center"/>
            </w:pPr>
            <w:r>
              <w:t>Superior Imediato</w:t>
            </w:r>
          </w:p>
        </w:tc>
      </w:tr>
      <w:tr w:rsidR="00B963D9" w14:paraId="3BC24EE7" w14:textId="77777777" w:rsidTr="00B963D9">
        <w:trPr>
          <w:trHeight w:hRule="exact" w:val="454"/>
        </w:trPr>
        <w:tc>
          <w:tcPr>
            <w:tcW w:w="4020" w:type="dxa"/>
            <w:tcBorders>
              <w:top w:val="nil"/>
              <w:left w:val="single" w:sz="4" w:space="0" w:color="000001"/>
              <w:bottom w:val="single" w:sz="4" w:space="0" w:color="auto"/>
              <w:right w:val="nil"/>
            </w:tcBorders>
            <w:tcMar>
              <w:top w:w="55" w:type="dxa"/>
              <w:left w:w="55" w:type="dxa"/>
              <w:bottom w:w="55" w:type="dxa"/>
              <w:right w:w="65" w:type="dxa"/>
            </w:tcMar>
            <w:vAlign w:val="center"/>
            <w:hideMark/>
          </w:tcPr>
          <w:p w14:paraId="0A5264DF" w14:textId="77777777" w:rsidR="00B963D9" w:rsidRDefault="00B963D9">
            <w:pPr>
              <w:pStyle w:val="Standard"/>
              <w:jc w:val="center"/>
            </w:pPr>
            <w:r>
              <w:t xml:space="preserve">Mikhail </w:t>
            </w:r>
            <w:proofErr w:type="spellStart"/>
            <w:r>
              <w:t>Mafort</w:t>
            </w:r>
            <w:proofErr w:type="spellEnd"/>
            <w:r>
              <w:t xml:space="preserve"> Freire da Silva</w:t>
            </w:r>
          </w:p>
        </w:tc>
        <w:tc>
          <w:tcPr>
            <w:tcW w:w="2445" w:type="dxa"/>
            <w:tcBorders>
              <w:top w:val="nil"/>
              <w:left w:val="single" w:sz="4" w:space="0" w:color="000001"/>
              <w:bottom w:val="single" w:sz="4" w:space="0" w:color="auto"/>
              <w:right w:val="nil"/>
            </w:tcBorders>
            <w:tcMar>
              <w:top w:w="55" w:type="dxa"/>
              <w:left w:w="55" w:type="dxa"/>
              <w:bottom w:w="55" w:type="dxa"/>
              <w:right w:w="65" w:type="dxa"/>
            </w:tcMar>
            <w:vAlign w:val="center"/>
            <w:hideMark/>
          </w:tcPr>
          <w:p w14:paraId="15F48513" w14:textId="77777777" w:rsidR="00B963D9" w:rsidRDefault="00B963D9">
            <w:pPr>
              <w:pStyle w:val="Standard"/>
              <w:jc w:val="center"/>
            </w:pPr>
            <w:r>
              <w:t>190.234</w:t>
            </w:r>
          </w:p>
        </w:tc>
        <w:tc>
          <w:tcPr>
            <w:tcW w:w="2607" w:type="dxa"/>
            <w:tcBorders>
              <w:top w:val="nil"/>
              <w:left w:val="single" w:sz="4" w:space="0" w:color="000001"/>
              <w:bottom w:val="single" w:sz="4" w:space="0" w:color="auto"/>
              <w:right w:val="single" w:sz="4" w:space="0" w:color="000001"/>
            </w:tcBorders>
            <w:tcMar>
              <w:top w:w="55" w:type="dxa"/>
              <w:left w:w="55" w:type="dxa"/>
              <w:bottom w:w="55" w:type="dxa"/>
              <w:right w:w="65" w:type="dxa"/>
            </w:tcMar>
            <w:vAlign w:val="center"/>
            <w:hideMark/>
          </w:tcPr>
          <w:p w14:paraId="60A1D702" w14:textId="77777777" w:rsidR="00B963D9" w:rsidRDefault="00B963D9">
            <w:pPr>
              <w:pStyle w:val="Standard"/>
              <w:jc w:val="center"/>
            </w:pPr>
            <w:r>
              <w:t>Fiscal Titular</w:t>
            </w:r>
          </w:p>
        </w:tc>
      </w:tr>
      <w:tr w:rsidR="00B963D9" w14:paraId="40C2ECC2" w14:textId="77777777" w:rsidTr="00B963D9">
        <w:trPr>
          <w:trHeight w:hRule="exact" w:val="454"/>
        </w:trPr>
        <w:tc>
          <w:tcPr>
            <w:tcW w:w="4020" w:type="dxa"/>
            <w:tcBorders>
              <w:top w:val="single" w:sz="4" w:space="0" w:color="auto"/>
              <w:left w:val="single" w:sz="4" w:space="0" w:color="auto"/>
              <w:bottom w:val="single" w:sz="4" w:space="0" w:color="auto"/>
              <w:right w:val="single" w:sz="4" w:space="0" w:color="auto"/>
            </w:tcBorders>
            <w:tcMar>
              <w:top w:w="55" w:type="dxa"/>
              <w:left w:w="55" w:type="dxa"/>
              <w:bottom w:w="55" w:type="dxa"/>
              <w:right w:w="65" w:type="dxa"/>
            </w:tcMar>
            <w:vAlign w:val="center"/>
            <w:hideMark/>
          </w:tcPr>
          <w:p w14:paraId="2859D254" w14:textId="77777777" w:rsidR="00B963D9" w:rsidRDefault="00B963D9">
            <w:pPr>
              <w:pStyle w:val="Standard"/>
              <w:jc w:val="center"/>
            </w:pPr>
            <w:proofErr w:type="spellStart"/>
            <w:r>
              <w:t>Anelisa</w:t>
            </w:r>
            <w:proofErr w:type="spellEnd"/>
            <w:r>
              <w:t xml:space="preserve"> Valle </w:t>
            </w:r>
            <w:proofErr w:type="spellStart"/>
            <w:r>
              <w:t>Wernek</w:t>
            </w:r>
            <w:proofErr w:type="spellEnd"/>
            <w:r>
              <w:t xml:space="preserve"> Viana</w:t>
            </w:r>
          </w:p>
        </w:tc>
        <w:tc>
          <w:tcPr>
            <w:tcW w:w="2445" w:type="dxa"/>
            <w:tcBorders>
              <w:top w:val="single" w:sz="4" w:space="0" w:color="auto"/>
              <w:left w:val="single" w:sz="4" w:space="0" w:color="auto"/>
              <w:bottom w:val="single" w:sz="4" w:space="0" w:color="auto"/>
              <w:right w:val="single" w:sz="4" w:space="0" w:color="auto"/>
            </w:tcBorders>
            <w:tcMar>
              <w:top w:w="55" w:type="dxa"/>
              <w:left w:w="55" w:type="dxa"/>
              <w:bottom w:w="55" w:type="dxa"/>
              <w:right w:w="65" w:type="dxa"/>
            </w:tcMar>
            <w:vAlign w:val="center"/>
            <w:hideMark/>
          </w:tcPr>
          <w:p w14:paraId="18E6B543" w14:textId="77777777" w:rsidR="00B963D9" w:rsidRDefault="00B963D9">
            <w:pPr>
              <w:pStyle w:val="Standard"/>
              <w:jc w:val="center"/>
            </w:pPr>
            <w:r>
              <w:t>062.962</w:t>
            </w:r>
          </w:p>
        </w:tc>
        <w:tc>
          <w:tcPr>
            <w:tcW w:w="2607" w:type="dxa"/>
            <w:tcBorders>
              <w:top w:val="single" w:sz="4" w:space="0" w:color="auto"/>
              <w:left w:val="single" w:sz="4" w:space="0" w:color="auto"/>
              <w:bottom w:val="single" w:sz="4" w:space="0" w:color="auto"/>
              <w:right w:val="single" w:sz="4" w:space="0" w:color="auto"/>
            </w:tcBorders>
            <w:tcMar>
              <w:top w:w="55" w:type="dxa"/>
              <w:left w:w="55" w:type="dxa"/>
              <w:bottom w:w="55" w:type="dxa"/>
              <w:right w:w="65" w:type="dxa"/>
            </w:tcMar>
            <w:vAlign w:val="center"/>
            <w:hideMark/>
          </w:tcPr>
          <w:p w14:paraId="65C48F86" w14:textId="77777777" w:rsidR="00B963D9" w:rsidRDefault="00B963D9">
            <w:pPr>
              <w:pStyle w:val="Standard"/>
              <w:jc w:val="center"/>
            </w:pPr>
            <w:r>
              <w:t>Fiscal Substituto</w:t>
            </w:r>
          </w:p>
        </w:tc>
      </w:tr>
      <w:tr w:rsidR="00B963D9" w14:paraId="358920A1" w14:textId="77777777" w:rsidTr="00B963D9">
        <w:trPr>
          <w:trHeight w:hRule="exact" w:val="454"/>
        </w:trPr>
        <w:tc>
          <w:tcPr>
            <w:tcW w:w="4020" w:type="dxa"/>
            <w:tcBorders>
              <w:top w:val="single" w:sz="4" w:space="0" w:color="auto"/>
              <w:left w:val="single" w:sz="4" w:space="0" w:color="000001"/>
              <w:bottom w:val="single" w:sz="4" w:space="0" w:color="000001"/>
              <w:right w:val="nil"/>
            </w:tcBorders>
            <w:tcMar>
              <w:top w:w="55" w:type="dxa"/>
              <w:left w:w="55" w:type="dxa"/>
              <w:bottom w:w="55" w:type="dxa"/>
              <w:right w:w="65" w:type="dxa"/>
            </w:tcMar>
            <w:vAlign w:val="center"/>
            <w:hideMark/>
          </w:tcPr>
          <w:p w14:paraId="1101A998" w14:textId="77777777" w:rsidR="00B963D9" w:rsidRDefault="00B963D9">
            <w:pPr>
              <w:pStyle w:val="Standard"/>
              <w:spacing w:line="323" w:lineRule="atLeast"/>
              <w:jc w:val="center"/>
              <w:rPr>
                <w:color w:val="00000A"/>
              </w:rPr>
            </w:pPr>
            <w:r>
              <w:lastRenderedPageBreak/>
              <w:t>Igor Faria de Jesus</w:t>
            </w:r>
          </w:p>
        </w:tc>
        <w:tc>
          <w:tcPr>
            <w:tcW w:w="2445" w:type="dxa"/>
            <w:tcBorders>
              <w:top w:val="single" w:sz="4" w:space="0" w:color="auto"/>
              <w:left w:val="single" w:sz="4" w:space="0" w:color="000001"/>
              <w:bottom w:val="single" w:sz="4" w:space="0" w:color="000001"/>
              <w:right w:val="nil"/>
            </w:tcBorders>
            <w:tcMar>
              <w:top w:w="55" w:type="dxa"/>
              <w:left w:w="55" w:type="dxa"/>
              <w:bottom w:w="55" w:type="dxa"/>
              <w:right w:w="65" w:type="dxa"/>
            </w:tcMar>
            <w:vAlign w:val="center"/>
            <w:hideMark/>
          </w:tcPr>
          <w:p w14:paraId="07D3DAE7" w14:textId="77777777" w:rsidR="00B963D9" w:rsidRDefault="00B963D9">
            <w:pPr>
              <w:pStyle w:val="Standard"/>
              <w:spacing w:line="323" w:lineRule="atLeast"/>
              <w:jc w:val="center"/>
            </w:pPr>
            <w:r>
              <w:t>063.036</w:t>
            </w:r>
          </w:p>
        </w:tc>
        <w:tc>
          <w:tcPr>
            <w:tcW w:w="2607" w:type="dxa"/>
            <w:tcBorders>
              <w:top w:val="single" w:sz="4" w:space="0" w:color="auto"/>
              <w:left w:val="single" w:sz="4" w:space="0" w:color="000001"/>
              <w:bottom w:val="single" w:sz="4" w:space="0" w:color="000001"/>
              <w:right w:val="single" w:sz="4" w:space="0" w:color="000001"/>
            </w:tcBorders>
            <w:tcMar>
              <w:top w:w="55" w:type="dxa"/>
              <w:left w:w="55" w:type="dxa"/>
              <w:bottom w:w="55" w:type="dxa"/>
              <w:right w:w="65" w:type="dxa"/>
            </w:tcMar>
            <w:vAlign w:val="center"/>
            <w:hideMark/>
          </w:tcPr>
          <w:p w14:paraId="6581899C" w14:textId="77777777" w:rsidR="00B963D9" w:rsidRDefault="00B963D9">
            <w:pPr>
              <w:pStyle w:val="Standard"/>
              <w:spacing w:line="323" w:lineRule="atLeast"/>
              <w:jc w:val="center"/>
            </w:pPr>
            <w:r>
              <w:t>Gestor Titular</w:t>
            </w:r>
          </w:p>
        </w:tc>
      </w:tr>
      <w:tr w:rsidR="00B963D9" w14:paraId="5F8E76BE" w14:textId="77777777" w:rsidTr="00B963D9">
        <w:trPr>
          <w:trHeight w:hRule="exact" w:val="454"/>
        </w:trPr>
        <w:tc>
          <w:tcPr>
            <w:tcW w:w="4020" w:type="dxa"/>
            <w:tcBorders>
              <w:top w:val="nil"/>
              <w:left w:val="single" w:sz="4" w:space="0" w:color="000001"/>
              <w:bottom w:val="single" w:sz="4" w:space="0" w:color="000001"/>
              <w:right w:val="nil"/>
            </w:tcBorders>
            <w:tcMar>
              <w:top w:w="55" w:type="dxa"/>
              <w:left w:w="55" w:type="dxa"/>
              <w:bottom w:w="55" w:type="dxa"/>
              <w:right w:w="65" w:type="dxa"/>
            </w:tcMar>
            <w:vAlign w:val="center"/>
            <w:hideMark/>
          </w:tcPr>
          <w:p w14:paraId="68B59D19" w14:textId="77777777" w:rsidR="00B963D9" w:rsidRDefault="00B963D9">
            <w:pPr>
              <w:pStyle w:val="Standard"/>
              <w:spacing w:line="323" w:lineRule="atLeast"/>
              <w:jc w:val="center"/>
            </w:pPr>
            <w:r>
              <w:t>Eduardo da Costa Mendonça de Melo</w:t>
            </w:r>
          </w:p>
        </w:tc>
        <w:tc>
          <w:tcPr>
            <w:tcW w:w="2445" w:type="dxa"/>
            <w:tcBorders>
              <w:top w:val="nil"/>
              <w:left w:val="single" w:sz="4" w:space="0" w:color="000001"/>
              <w:bottom w:val="single" w:sz="4" w:space="0" w:color="000001"/>
              <w:right w:val="nil"/>
            </w:tcBorders>
            <w:tcMar>
              <w:top w:w="55" w:type="dxa"/>
              <w:left w:w="55" w:type="dxa"/>
              <w:bottom w:w="55" w:type="dxa"/>
              <w:right w:w="65" w:type="dxa"/>
            </w:tcMar>
            <w:vAlign w:val="center"/>
            <w:hideMark/>
          </w:tcPr>
          <w:p w14:paraId="1A58B568" w14:textId="77777777" w:rsidR="00B963D9" w:rsidRDefault="00B963D9">
            <w:pPr>
              <w:pStyle w:val="Standard"/>
              <w:spacing w:line="323" w:lineRule="atLeast"/>
              <w:jc w:val="center"/>
            </w:pPr>
            <w:r>
              <w:t>063.218</w:t>
            </w:r>
          </w:p>
        </w:tc>
        <w:tc>
          <w:tcPr>
            <w:tcW w:w="2607" w:type="dxa"/>
            <w:tcBorders>
              <w:top w:val="nil"/>
              <w:left w:val="single" w:sz="4" w:space="0" w:color="000001"/>
              <w:bottom w:val="single" w:sz="4" w:space="0" w:color="000001"/>
              <w:right w:val="single" w:sz="4" w:space="0" w:color="000001"/>
            </w:tcBorders>
            <w:tcMar>
              <w:top w:w="55" w:type="dxa"/>
              <w:left w:w="55" w:type="dxa"/>
              <w:bottom w:w="55" w:type="dxa"/>
              <w:right w:w="65" w:type="dxa"/>
            </w:tcMar>
            <w:vAlign w:val="center"/>
            <w:hideMark/>
          </w:tcPr>
          <w:p w14:paraId="58340AC8" w14:textId="77777777" w:rsidR="00B963D9" w:rsidRDefault="00B963D9">
            <w:pPr>
              <w:pStyle w:val="Standard"/>
              <w:spacing w:line="323" w:lineRule="atLeast"/>
              <w:jc w:val="center"/>
            </w:pPr>
            <w:r>
              <w:t>Gestor Substituto</w:t>
            </w:r>
          </w:p>
        </w:tc>
      </w:tr>
    </w:tbl>
    <w:p w14:paraId="042F4872" w14:textId="77777777" w:rsidR="00766A0D" w:rsidRPr="00766A0D" w:rsidRDefault="00766A0D" w:rsidP="00766A0D">
      <w:pPr>
        <w:pStyle w:val="PargrafodaLista"/>
        <w:widowControl/>
        <w:tabs>
          <w:tab w:val="left" w:pos="426"/>
        </w:tabs>
        <w:autoSpaceDE/>
        <w:autoSpaceDN/>
        <w:spacing w:before="120" w:after="120" w:line="276" w:lineRule="auto"/>
        <w:ind w:left="360"/>
        <w:jc w:val="both"/>
        <w:rPr>
          <w:rFonts w:ascii="Azo Sans Lt" w:hAnsi="Azo Sans Lt" w:cstheme="minorHAnsi"/>
          <w:bCs/>
          <w:iCs/>
          <w:lang w:val="pt-BR"/>
        </w:rPr>
      </w:pPr>
    </w:p>
    <w:p w14:paraId="2D66D85A" w14:textId="7EF12542" w:rsidR="00B7341B" w:rsidRPr="00B7341B" w:rsidRDefault="00B7341B" w:rsidP="002B74B6">
      <w:pPr>
        <w:pStyle w:val="PargrafodaLista"/>
        <w:widowControl/>
        <w:numPr>
          <w:ilvl w:val="1"/>
          <w:numId w:val="27"/>
        </w:numPr>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O fiscal do contato anotará em registro próprio todas as ocorrências relacionadas com a execução do 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5D86B701" w14:textId="5B4B1331" w:rsidR="00B7341B" w:rsidRPr="00B7341B" w:rsidRDefault="00B7341B" w:rsidP="00B734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O fiscal designado pela Contratante deverá ter a experiência necessária para o acompanhamento e controle da entrega.</w:t>
      </w:r>
    </w:p>
    <w:p w14:paraId="65DCBE0E" w14:textId="17224A86" w:rsidR="00B7341B" w:rsidRDefault="00B7341B" w:rsidP="00B734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B7341B">
        <w:rPr>
          <w:rFonts w:ascii="Azo Sans Lt" w:hAnsi="Azo Sans Lt" w:cstheme="minorHAnsi"/>
          <w:bCs/>
          <w:iCs/>
          <w:lang w:val="pt-BR"/>
        </w:rPr>
        <w:t xml:space="preserve">A fiscalização de que trata esta cláusula não exclui nem reduz a responsabilidade </w:t>
      </w:r>
      <w:proofErr w:type="gramStart"/>
      <w:r w:rsidRPr="00B7341B">
        <w:rPr>
          <w:rFonts w:ascii="Azo Sans Lt" w:hAnsi="Azo Sans Lt" w:cstheme="minorHAnsi"/>
          <w:bCs/>
          <w:iCs/>
          <w:lang w:val="pt-BR"/>
        </w:rPr>
        <w:t>da  empresa</w:t>
      </w:r>
      <w:proofErr w:type="gramEnd"/>
      <w:r w:rsidRPr="00B7341B">
        <w:rPr>
          <w:rFonts w:ascii="Azo Sans Lt" w:hAnsi="Azo Sans Lt" w:cstheme="minorHAnsi"/>
          <w:bCs/>
          <w:iCs/>
          <w:lang w:val="pt-BR"/>
        </w:rPr>
        <w:t xml:space="preserve"> vencedora,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Lt" w:hAnsi="Azo Sans Lt" w:cstheme="minorHAnsi"/>
          <w:bCs/>
          <w:iCs/>
          <w:lang w:val="pt-BR"/>
        </w:rPr>
        <w:t>.</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6E8C48A4" w14:textId="77777777" w:rsidR="00B7341B" w:rsidRPr="00B7341B" w:rsidRDefault="00831574" w:rsidP="00B7341B">
      <w:pPr>
        <w:pStyle w:val="PargrafodaLista"/>
        <w:numPr>
          <w:ilvl w:val="2"/>
          <w:numId w:val="27"/>
        </w:numPr>
        <w:autoSpaceDN/>
        <w:spacing w:before="120" w:after="120"/>
        <w:ind w:left="0" w:firstLine="0"/>
        <w:rPr>
          <w:rFonts w:ascii="Azo Sans Lt" w:hAnsi="Azo Sans Lt" w:cstheme="minorHAnsi"/>
          <w:lang w:val="pt-BR"/>
        </w:rPr>
      </w:pPr>
      <w:r>
        <w:rPr>
          <w:rFonts w:ascii="Azo Sans Lt" w:hAnsi="Azo Sans Lt" w:cstheme="minorHAnsi"/>
        </w:rPr>
        <w:t xml:space="preserve"> </w:t>
      </w:r>
      <w:r w:rsidR="00B7341B" w:rsidRPr="00B7341B">
        <w:rPr>
          <w:rFonts w:ascii="Azo Sans Lt" w:hAnsi="Azo Sans Lt" w:cstheme="minorHAnsi"/>
          <w:lang w:val="pt-BR"/>
        </w:rPr>
        <w:t>Exigir o cumprimento de todas as obrigações assumidas pela empresa vencedora, de acordo com as cláusulas contratuais e os termos de sua proposta;</w:t>
      </w:r>
    </w:p>
    <w:p w14:paraId="16CBB869" w14:textId="55AD4DEA"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Receber provisoriamente o material, disponibilizado local, data e horário;</w:t>
      </w:r>
    </w:p>
    <w:p w14:paraId="206E5F4D" w14:textId="2BF269CB"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 xml:space="preserve">Verificar minuciosamente, no prazo fixado, a conformidade dos bens recebidos </w:t>
      </w:r>
    </w:p>
    <w:p w14:paraId="454AC791" w14:textId="77777777"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Provisoriamente com as especificações constantes do Termo de Referência e da proposta, para fins de aceitação e recebimento definitivo;</w:t>
      </w:r>
    </w:p>
    <w:p w14:paraId="60D6E129" w14:textId="606FA479"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Acompanhar e fiscalizar o cumprimento das obrigações da empresa vencedora, através de servidor especialmente designado;</w:t>
      </w:r>
    </w:p>
    <w:p w14:paraId="2E88D9C8" w14:textId="40FA96BD"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Efetuar o pagamento no prazo previsto;</w:t>
      </w:r>
    </w:p>
    <w:p w14:paraId="5317991C" w14:textId="7663FC5E" w:rsidR="00B7341B" w:rsidRP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Efetuar as retenções tributárias devidas sobre o valor da Nota Fiscal/Fatura fornecida pela empresa vencedora.</w:t>
      </w:r>
    </w:p>
    <w:p w14:paraId="4B599DA4" w14:textId="1B4D823F" w:rsidR="00B7341B" w:rsidRDefault="00B7341B" w:rsidP="00B7341B">
      <w:pPr>
        <w:pStyle w:val="PargrafodaLista"/>
        <w:numPr>
          <w:ilvl w:val="2"/>
          <w:numId w:val="27"/>
        </w:numPr>
        <w:spacing w:before="120" w:after="120"/>
        <w:ind w:left="0" w:firstLine="0"/>
        <w:rPr>
          <w:rFonts w:ascii="Azo Sans Lt" w:hAnsi="Azo Sans Lt" w:cstheme="minorHAnsi"/>
          <w:lang w:val="pt-BR"/>
        </w:rPr>
      </w:pPr>
      <w:r w:rsidRPr="00B7341B">
        <w:rPr>
          <w:rFonts w:ascii="Azo Sans Lt" w:hAnsi="Azo Sans Lt" w:cstheme="minorHAnsi"/>
          <w:lang w:val="pt-BR"/>
        </w:rPr>
        <w:t xml:space="preserve">A Administração não responderá por quaisquer compromissos assumidos pela empresa vencedora com terceiros, ainda que vinculados à execução do presente Termo de Referência, bem como por qualquer dano causado a terceiros em decorrência de ato </w:t>
      </w:r>
      <w:proofErr w:type="gramStart"/>
      <w:r w:rsidRPr="00B7341B">
        <w:rPr>
          <w:rFonts w:ascii="Azo Sans Lt" w:hAnsi="Azo Sans Lt" w:cstheme="minorHAnsi"/>
          <w:lang w:val="pt-BR"/>
        </w:rPr>
        <w:t>da  empresa</w:t>
      </w:r>
      <w:proofErr w:type="gramEnd"/>
      <w:r w:rsidRPr="00B7341B">
        <w:rPr>
          <w:rFonts w:ascii="Azo Sans Lt" w:hAnsi="Azo Sans Lt" w:cstheme="minorHAnsi"/>
          <w:lang w:val="pt-BR"/>
        </w:rPr>
        <w:t xml:space="preserve"> vencedora, de seus empregados, prepostos ou subordinados. </w:t>
      </w:r>
    </w:p>
    <w:p w14:paraId="078A6137" w14:textId="4952E3B4" w:rsidR="00F727DE" w:rsidRDefault="00F727DE" w:rsidP="00F727DE">
      <w:pPr>
        <w:pStyle w:val="PargrafodaLista"/>
        <w:spacing w:before="120" w:after="120"/>
        <w:ind w:left="0"/>
        <w:rPr>
          <w:rFonts w:ascii="Azo Sans Lt" w:hAnsi="Azo Sans Lt" w:cstheme="minorHAnsi"/>
          <w:lang w:val="pt-BR"/>
        </w:rPr>
      </w:pPr>
    </w:p>
    <w:p w14:paraId="0BF6509A" w14:textId="037EE01E" w:rsidR="009F3790" w:rsidRDefault="009F3790" w:rsidP="00F727DE">
      <w:pPr>
        <w:pStyle w:val="PargrafodaLista"/>
        <w:spacing w:before="120" w:after="120"/>
        <w:ind w:left="0"/>
        <w:rPr>
          <w:rFonts w:ascii="Azo Sans Lt" w:hAnsi="Azo Sans Lt" w:cstheme="minorHAnsi"/>
          <w:lang w:val="pt-BR"/>
        </w:rPr>
      </w:pPr>
    </w:p>
    <w:p w14:paraId="5B3A7EF8" w14:textId="263F7F57" w:rsidR="00E40A97" w:rsidRPr="00A87002" w:rsidRDefault="00E40A97" w:rsidP="005041CA">
      <w:pPr>
        <w:pStyle w:val="PargrafodaLista"/>
        <w:widowControl/>
        <w:numPr>
          <w:ilvl w:val="1"/>
          <w:numId w:val="27"/>
        </w:numPr>
        <w:autoSpaceDE/>
        <w:autoSpaceDN/>
        <w:spacing w:before="120" w:after="120" w:line="276" w:lineRule="auto"/>
        <w:jc w:val="both"/>
        <w:rPr>
          <w:rFonts w:ascii="Azo Sans Lt" w:hAnsi="Azo Sans Lt" w:cstheme="minorHAnsi"/>
          <w:b/>
          <w:bCs/>
        </w:rPr>
      </w:pPr>
      <w:r w:rsidRPr="00A87002">
        <w:rPr>
          <w:rFonts w:ascii="Azo Sans Lt" w:hAnsi="Azo Sans Lt" w:cstheme="minorHAnsi"/>
          <w:b/>
          <w:bCs/>
        </w:rPr>
        <w:lastRenderedPageBreak/>
        <w:t>Das obrigações da Contratada:</w:t>
      </w:r>
    </w:p>
    <w:p w14:paraId="376D2886" w14:textId="77777777" w:rsidR="008040AC" w:rsidRPr="008040AC" w:rsidRDefault="008040AC"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Pr>
          <w:color w:val="000000"/>
        </w:rPr>
        <w:t>Ter capacidade de atendimento da demanda com eficiência, presteza e zelo.</w:t>
      </w:r>
    </w:p>
    <w:p w14:paraId="4828CF2D" w14:textId="6F01E9A4"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Efetuar entrega, montagem e instalação dos itens, em perfeitas condições, no prazo e local indicados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fiscais citadas nos subitens 10.1.1 a 10.1.6</w:t>
      </w:r>
      <w:r w:rsidR="006D517C">
        <w:rPr>
          <w:rFonts w:ascii="Azo Sans Lt" w:hAnsi="Azo Sans Lt" w:cstheme="minorHAnsi"/>
          <w:lang w:val="pt-BR"/>
        </w:rPr>
        <w:t xml:space="preserve"> do Termo de Referência</w:t>
      </w:r>
      <w:r w:rsidRPr="00B7341B">
        <w:rPr>
          <w:rFonts w:ascii="Azo Sans Lt" w:hAnsi="Azo Sans Lt" w:cstheme="minorHAnsi"/>
          <w:lang w:val="pt-BR"/>
        </w:rPr>
        <w:t>;</w:t>
      </w:r>
    </w:p>
    <w:p w14:paraId="60A0C066" w14:textId="444C0D5F"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 xml:space="preserve">Responsabilizar-se pelos vícios e danos decorrentes do produto, de acordo com os artigos 12,13,18 e 26, do Código de Defesa do Consumidor (Lei nº.8.078, de 1990); </w:t>
      </w:r>
    </w:p>
    <w:p w14:paraId="1201EBBD" w14:textId="569313A9"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O dever previsto no subitem anterior implica na obrigação de, a critério da Contratante, substituir, reparar, corrigir remover, ou reconstruir, as suas expensas, no prazo máximo de 07 dias úteis, o produto com avarias, defeitos ou em desacordo com o Termo de Referência;</w:t>
      </w:r>
    </w:p>
    <w:p w14:paraId="6EBD6D9A" w14:textId="224AC50F"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Atender prontamente a quaisquer exigências da Contratante, inerentes ao objeto da presente contratação;</w:t>
      </w:r>
    </w:p>
    <w:p w14:paraId="742292C5" w14:textId="52183403"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w:t>
      </w:r>
    </w:p>
    <w:p w14:paraId="6D658A12" w14:textId="648333FF"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 xml:space="preserve">Responsabilizar-se, pelas despesas dos tributos, encargos trabalhistas, previdenciários, fiscais, comerciais, taxas, fretes, seguros, deslocamento de pessoal, prestação de garantia e quaisquer outras que incidam ou venham a incidir na execução do ato. </w:t>
      </w:r>
    </w:p>
    <w:p w14:paraId="6B6ED424" w14:textId="2AF69F6B"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Comunicar à Contratante, no prazo mínimo de 72 horas de antecedência, os motivos que eventualmente impossibilitem o cumprimento do prazo previsto, com a devida comprovação;</w:t>
      </w:r>
    </w:p>
    <w:p w14:paraId="15CD4FCF" w14:textId="6C3C8316" w:rsidR="00B7341B" w:rsidRP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Manter em compatibilidade com as obrigações assumidas, todas as condições de habilitação e qualificação exigidas na licitação;</w:t>
      </w:r>
    </w:p>
    <w:p w14:paraId="524EFDA7" w14:textId="11B24CC3" w:rsidR="00B7341B" w:rsidRDefault="00B7341B" w:rsidP="00B7341B">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7341B">
        <w:rPr>
          <w:rFonts w:ascii="Azo Sans Lt" w:hAnsi="Azo Sans Lt"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r w:rsidR="006D517C">
        <w:rPr>
          <w:rFonts w:ascii="Azo Sans Lt" w:hAnsi="Azo Sans Lt" w:cstheme="minorHAnsi"/>
          <w:lang w:val="pt-BR"/>
        </w:rPr>
        <w:t>.</w:t>
      </w:r>
    </w:p>
    <w:p w14:paraId="0037974E" w14:textId="1F42F31D" w:rsidR="008E19E3" w:rsidRPr="008E19E3" w:rsidRDefault="008E19E3" w:rsidP="008E19E3">
      <w:pPr>
        <w:pStyle w:val="Standard"/>
        <w:numPr>
          <w:ilvl w:val="2"/>
          <w:numId w:val="27"/>
        </w:numPr>
        <w:ind w:left="0" w:firstLine="0"/>
        <w:jc w:val="both"/>
        <w:rPr>
          <w:rFonts w:ascii="Azo Sans Lt" w:eastAsia="Verdana" w:hAnsi="Azo Sans Lt" w:cstheme="minorHAnsi"/>
        </w:rPr>
      </w:pPr>
      <w:r>
        <w:rPr>
          <w:rFonts w:ascii="Azo Sans Lt" w:eastAsia="Verdana" w:hAnsi="Azo Sans Lt" w:cstheme="minorHAnsi"/>
        </w:rPr>
        <w:t xml:space="preserve"> </w:t>
      </w:r>
      <w:r w:rsidRPr="008E19E3">
        <w:rPr>
          <w:rFonts w:ascii="Azo Sans Lt" w:eastAsia="Verdana" w:hAnsi="Azo Sans Lt" w:cstheme="minorHAnsi"/>
        </w:rPr>
        <w:t>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substituição, à vista da inviabilidade dos produtos no período de validade.</w:t>
      </w:r>
    </w:p>
    <w:p w14:paraId="0B630FC8" w14:textId="62AF20AB" w:rsidR="00A229E2" w:rsidRDefault="005F5E8D" w:rsidP="006D517C">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 xml:space="preserve">CLÁUSULA DÉCIMA </w:t>
      </w:r>
      <w:r w:rsidR="007270C7">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57EB238F" w14:textId="2D1344FD"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11.1 - O descumprimento, por parte da CONTRATADA, das obrigações assumidas no Presente Termo de Referência ou o descumprimento dos preceitos legais pertinentes, ensejará a aplicação das sanções previstas pela lei Federal nº 10.520/2002, Decreto Federal 10.024/2019 e na lei 8.666/93;</w:t>
      </w:r>
    </w:p>
    <w:p w14:paraId="4B4235AF" w14:textId="648864B8"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11.1.1 - Comete infração administrativa:</w:t>
      </w:r>
    </w:p>
    <w:p w14:paraId="4779C0F9" w14:textId="5C7565AB"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11.1.1.1 - Não assinar o termo de contrato ou aceitar/retirar o instrumento equivalente, quando convocado dentro do prazo de validade da proposta;</w:t>
      </w:r>
    </w:p>
    <w:p w14:paraId="319463E2" w14:textId="45E5FBB5"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11.1.1.2 - Apresentar documentação falsa;</w:t>
      </w:r>
    </w:p>
    <w:p w14:paraId="41342D80" w14:textId="592C758C"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11.1.1.3 - Deixar de entregar os documentos exigidos no certame;</w:t>
      </w:r>
    </w:p>
    <w:p w14:paraId="0053E156" w14:textId="74D9F1CA"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11.1.1.4 - Ensejar o retardamento da execução do objeto;</w:t>
      </w:r>
    </w:p>
    <w:p w14:paraId="4ADC2C1B" w14:textId="744DD9A0"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11.1.1.5 - Não mantiver a proposta;</w:t>
      </w:r>
    </w:p>
    <w:p w14:paraId="1C1F9245" w14:textId="43D0B9F7"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11.1.1.6 - Cometer fraude fiscal;</w:t>
      </w:r>
    </w:p>
    <w:p w14:paraId="305EE0DC" w14:textId="1896F44C"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11.1.1.7 - Comportar-se de modo inidôneo;</w:t>
      </w:r>
    </w:p>
    <w:p w14:paraId="6968DFEA" w14:textId="76A8B3BD"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11.2 - Considera-se comportamento inidôneo, entre outros, a declaração falsa quanto às condições de participação, quanto ao enquadramento como Me/EPP, ou conluio, entre os licitantes, em qualquer momento da licitação, mesmo após o encerramento da fase de lances;</w:t>
      </w:r>
    </w:p>
    <w:p w14:paraId="2DD1DB63" w14:textId="09D9CE75"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11.3 - Pela inexecução total ou parcial da obrigação poderá a Administração, garantida a ampla defesa, aplicar à empresa, observando a gravidade das faltas cometidas, as seguintes sanções:</w:t>
      </w:r>
    </w:p>
    <w:p w14:paraId="5BED8A6C" w14:textId="7B4D4E05"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11.3.1 - Advertência;</w:t>
      </w:r>
    </w:p>
    <w:p w14:paraId="49632666" w14:textId="17876A38"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11.3.2 - Multa de 10% sobre o valor total da contratação;</w:t>
      </w:r>
    </w:p>
    <w:p w14:paraId="4C072220" w14:textId="3B9AB8C1"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11.3.3 - Suspensão temporária de participação em licitação e impedimento de contratar com a Administração, por prazo não superior a 2 (dois) anos;</w:t>
      </w:r>
    </w:p>
    <w:p w14:paraId="60CAE025" w14:textId="76FB3075"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11.3.4 -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51A4E0D" w14:textId="536DC56D"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11.4 - As multas e outras sanções aplicadas só poderão ser relevadas, motivadamente e por conveniência administrativa, mediante ato da Administração, devidamente justificado;</w:t>
      </w:r>
    </w:p>
    <w:p w14:paraId="4DB4E644" w14:textId="325E1C70" w:rsidR="002B74B6"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 xml:space="preserve">11.5 - As sanções de advertência e de suspensão temporária de participação em licitação e impedimento de contratar com a Administração e declaração de idoneidade para licitar ou contratar com a Administração Pública poderão ser aplicadas juntamente com a sanção de </w:t>
      </w:r>
      <w:r w:rsidRPr="002B74B6">
        <w:rPr>
          <w:rFonts w:ascii="Azo Sans Lt" w:eastAsia="Verdana" w:hAnsi="Azo Sans Lt" w:cstheme="minorHAnsi"/>
        </w:rPr>
        <w:lastRenderedPageBreak/>
        <w:t>multa, facultada a defesa prévia de interessado, no respectivo processo, no prazo de 5 (cinco) dias úteis;</w:t>
      </w:r>
    </w:p>
    <w:p w14:paraId="64259BEC" w14:textId="59AF94FC" w:rsidR="006D517C" w:rsidRPr="002B74B6" w:rsidRDefault="002B74B6" w:rsidP="002B74B6">
      <w:pPr>
        <w:pStyle w:val="Standard"/>
        <w:jc w:val="both"/>
        <w:rPr>
          <w:rFonts w:ascii="Azo Sans Lt" w:eastAsia="Verdana" w:hAnsi="Azo Sans Lt" w:cstheme="minorHAnsi"/>
        </w:rPr>
      </w:pPr>
      <w:r w:rsidRPr="002B74B6">
        <w:rPr>
          <w:rFonts w:ascii="Azo Sans Lt" w:eastAsia="Verdana" w:hAnsi="Azo Sans Lt" w:cstheme="minorHAnsi"/>
        </w:rPr>
        <w:t>11.6 - 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3F538DD6" w14:textId="48DCFFF2" w:rsidR="00945157" w:rsidRPr="00945157" w:rsidRDefault="006D517C" w:rsidP="00945157">
      <w:pPr>
        <w:widowControl/>
        <w:numPr>
          <w:ilvl w:val="1"/>
          <w:numId w:val="27"/>
        </w:numPr>
        <w:autoSpaceDE/>
        <w:autoSpaceDN/>
        <w:spacing w:before="120" w:after="120"/>
        <w:ind w:left="0" w:firstLine="0"/>
        <w:jc w:val="both"/>
        <w:rPr>
          <w:rFonts w:ascii="Azo Sans Lt" w:hAnsi="Azo Sans Lt" w:cstheme="minorHAnsi"/>
        </w:rPr>
      </w:pPr>
      <w:r w:rsidRPr="006D517C">
        <w:rPr>
          <w:rFonts w:ascii="Azo Sans Lt" w:hAnsi="Azo Sans Lt" w:cstheme="minorHAnsi"/>
          <w:lang w:val="pt-BR"/>
        </w:rPr>
        <w:t xml:space="preserve">O inadimplemento de cláusula estabelecida </w:t>
      </w:r>
      <w:r w:rsidR="00FF7286">
        <w:rPr>
          <w:rFonts w:ascii="Azo Sans Lt" w:hAnsi="Azo Sans Lt" w:cstheme="minorHAnsi"/>
          <w:lang w:val="pt-BR"/>
        </w:rPr>
        <w:t>no</w:t>
      </w:r>
      <w:r w:rsidRPr="006D517C">
        <w:rPr>
          <w:rFonts w:ascii="Azo Sans Lt" w:hAnsi="Azo Sans Lt" w:cstheme="minorHAnsi"/>
          <w:lang w:val="pt-BR"/>
        </w:rPr>
        <w:t xml:space="preserve"> Termo de Referência, bem como na legislação vigente, por parte do fornecedor, assegurará a Secretaria Municipal de Saúde de Nova Friburgo o direito de rescindi-la, mediante notificação, com prova de recebimento</w:t>
      </w:r>
      <w:r w:rsidR="00945157" w:rsidRPr="00945157">
        <w:rPr>
          <w:rFonts w:ascii="Azo Sans Lt" w:hAnsi="Azo Sans Lt" w:cstheme="minorHAnsi"/>
        </w:rPr>
        <w:t>.</w:t>
      </w:r>
    </w:p>
    <w:p w14:paraId="77454197" w14:textId="790A100B" w:rsidR="00945157" w:rsidRDefault="006D517C" w:rsidP="00945157">
      <w:pPr>
        <w:widowControl/>
        <w:numPr>
          <w:ilvl w:val="1"/>
          <w:numId w:val="27"/>
        </w:numPr>
        <w:autoSpaceDE/>
        <w:autoSpaceDN/>
        <w:spacing w:before="120" w:after="120"/>
        <w:ind w:left="0" w:firstLine="0"/>
        <w:jc w:val="both"/>
        <w:rPr>
          <w:rFonts w:ascii="Azo Sans Lt" w:hAnsi="Azo Sans Lt" w:cstheme="minorHAnsi"/>
        </w:rPr>
      </w:pPr>
      <w:r w:rsidRPr="006D517C">
        <w:rPr>
          <w:rFonts w:ascii="Azo Sans Lt" w:hAnsi="Azo Sans Lt" w:cstheme="minorHAnsi"/>
          <w:lang w:val="pt-BR"/>
        </w:rPr>
        <w:t>Além de outras hipóteses expressamente previstas no artigo 78 da Lei nº. 8.666/1993 constituem motivos para a rescisão do ato</w:t>
      </w:r>
      <w:r w:rsidR="00945157">
        <w:rPr>
          <w:rFonts w:ascii="Azo Sans Lt" w:hAnsi="Azo Sans Lt" w:cstheme="minorHAnsi"/>
        </w:rPr>
        <w:t>:</w:t>
      </w:r>
    </w:p>
    <w:p w14:paraId="55FB5723" w14:textId="160EAD1F" w:rsidR="00945157" w:rsidRPr="00945157" w:rsidRDefault="006D517C" w:rsidP="00945157">
      <w:pPr>
        <w:widowControl/>
        <w:numPr>
          <w:ilvl w:val="2"/>
          <w:numId w:val="27"/>
        </w:numPr>
        <w:autoSpaceDE/>
        <w:autoSpaceDN/>
        <w:spacing w:before="120" w:after="120"/>
        <w:ind w:left="0" w:firstLine="0"/>
        <w:jc w:val="both"/>
        <w:rPr>
          <w:rFonts w:ascii="Azo Sans Lt" w:hAnsi="Azo Sans Lt" w:cstheme="minorHAnsi"/>
        </w:rPr>
      </w:pPr>
      <w:r w:rsidRPr="006D517C">
        <w:rPr>
          <w:rFonts w:ascii="Azo Sans Lt" w:hAnsi="Azo Sans Lt" w:cstheme="minorHAnsi"/>
          <w:lang w:val="pt-BR"/>
        </w:rPr>
        <w:t>Atraso injustificado na prestação dos serviços, bem como a sua paralisação sem justa causa e prévia comunicação a Secretaria Municipal de Saúde</w:t>
      </w:r>
      <w:r w:rsidR="00945157" w:rsidRPr="00945157">
        <w:rPr>
          <w:rFonts w:ascii="Azo Sans Lt" w:hAnsi="Azo Sans Lt" w:cstheme="minorHAnsi"/>
        </w:rPr>
        <w:t>.</w:t>
      </w:r>
    </w:p>
    <w:p w14:paraId="3473CD03" w14:textId="66B01623" w:rsidR="00945157" w:rsidRDefault="006D517C" w:rsidP="00945157">
      <w:pPr>
        <w:widowControl/>
        <w:numPr>
          <w:ilvl w:val="2"/>
          <w:numId w:val="27"/>
        </w:numPr>
        <w:autoSpaceDE/>
        <w:autoSpaceDN/>
        <w:spacing w:before="120" w:after="120"/>
        <w:ind w:left="0" w:firstLine="0"/>
        <w:jc w:val="both"/>
        <w:rPr>
          <w:rFonts w:ascii="Azo Sans Lt" w:hAnsi="Azo Sans Lt" w:cstheme="minorHAnsi"/>
        </w:rPr>
      </w:pPr>
      <w:r w:rsidRPr="006D517C">
        <w:rPr>
          <w:rFonts w:ascii="Azo Sans Lt" w:hAnsi="Azo Sans Lt" w:cstheme="minorHAnsi"/>
          <w:lang w:val="pt-BR"/>
        </w:rPr>
        <w:t>O cometimento reiterado de falhas, comprovadas por meio de registro próprio efetuado pelo representante da Secretaria Municipal de Saúde</w:t>
      </w:r>
      <w:r w:rsidR="00945157">
        <w:rPr>
          <w:rFonts w:ascii="Azo Sans Lt" w:hAnsi="Azo Sans Lt" w:cstheme="minorHAnsi"/>
        </w:rPr>
        <w:t>.</w:t>
      </w:r>
    </w:p>
    <w:p w14:paraId="0C8FA21E" w14:textId="594F4E63" w:rsidR="00945157" w:rsidRDefault="006D517C" w:rsidP="00CC666F">
      <w:pPr>
        <w:widowControl/>
        <w:numPr>
          <w:ilvl w:val="1"/>
          <w:numId w:val="27"/>
        </w:numPr>
        <w:autoSpaceDE/>
        <w:autoSpaceDN/>
        <w:spacing w:before="120" w:after="120"/>
        <w:ind w:left="0" w:firstLine="0"/>
        <w:jc w:val="both"/>
        <w:rPr>
          <w:rFonts w:ascii="Azo Sans Lt" w:hAnsi="Azo Sans Lt" w:cstheme="minorHAnsi"/>
        </w:rPr>
      </w:pPr>
      <w:r w:rsidRPr="006D517C">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00945157">
        <w:rPr>
          <w:rFonts w:ascii="Azo Sans Lt" w:hAnsi="Azo Sans Lt" w:cstheme="minorHAnsi"/>
          <w:lang w:val="pt-BR"/>
        </w:rPr>
        <w:t>.</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4A0FDA7" w14:textId="0F68A9DD" w:rsidR="007270C7" w:rsidRDefault="006D517C" w:rsidP="007270C7">
      <w:pPr>
        <w:widowControl/>
        <w:numPr>
          <w:ilvl w:val="1"/>
          <w:numId w:val="27"/>
        </w:numPr>
        <w:autoSpaceDE/>
        <w:autoSpaceDN/>
        <w:spacing w:before="120" w:after="120"/>
        <w:ind w:left="0" w:firstLine="0"/>
        <w:jc w:val="both"/>
        <w:rPr>
          <w:rFonts w:ascii="Azo Sans Lt" w:hAnsi="Azo Sans Lt" w:cstheme="minorHAnsi"/>
        </w:rPr>
      </w:pPr>
      <w:bookmarkStart w:id="1" w:name="_Hlk102642670"/>
      <w:r w:rsidRPr="006D517C">
        <w:rPr>
          <w:rFonts w:ascii="Azo Sans Lt" w:hAnsi="Azo Sans Lt" w:cstheme="minorHAnsi"/>
          <w:lang w:val="pt-BR"/>
        </w:rPr>
        <w:t>É admissível a fusão, cisão ou incorporação da empresa vencedora com/em outra pessoa jurídica, desde que sejam observados por esta nova pessoa jurídica todos os requisitos da habilitação exigidos, sejam mantidas as demais cláusulas e condições do Termo de Referência, não haja prejuízo à execução do objeto pactuado e haja a anuência expressa da Administração à continuidade do ato</w:t>
      </w:r>
      <w:r w:rsidR="007270C7" w:rsidRPr="007270C7">
        <w:rPr>
          <w:rFonts w:ascii="Azo Sans Lt" w:hAnsi="Azo Sans Lt" w:cstheme="minorHAnsi"/>
        </w:rPr>
        <w:t>.</w:t>
      </w:r>
    </w:p>
    <w:p w14:paraId="49EC4A23" w14:textId="778D3E5D"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6D517C">
        <w:rPr>
          <w:rFonts w:ascii="Azo Sans Lt" w:hAnsi="Azo Sans Lt" w:cstheme="minorHAnsi"/>
          <w:sz w:val="22"/>
          <w:szCs w:val="22"/>
          <w:lang w:val="pt-PT"/>
        </w:rPr>
        <w:t>QUINTA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92B27D2" w:rsidR="00837319" w:rsidRDefault="006D517C"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6D517C">
        <w:rPr>
          <w:rFonts w:ascii="Azo Sans Lt" w:hAnsi="Azo Sans Lt" w:cstheme="minorHAnsi"/>
          <w:lang w:val="pt-BR"/>
        </w:rPr>
        <w:t>Consoante o artigo 45 da Lei nº.9.784, de 1999, a Administração Pública poderá, sem a prévia manifestação do interessado, motivadamente, adotar providências acauteladas, inclusive retendo o pagamento, em caso de risco iminente, como forma de prevenir a ocorrência de dano de difícil ou impossível reparação</w:t>
      </w:r>
      <w:r w:rsidR="00837319" w:rsidRPr="00CC666F">
        <w:rPr>
          <w:rFonts w:ascii="Azo Sans Lt" w:hAnsi="Azo Sans Lt" w:cstheme="minorHAnsi"/>
        </w:rPr>
        <w:t>.</w:t>
      </w:r>
    </w:p>
    <w:p w14:paraId="2AA8FD78" w14:textId="58FC8A0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6D517C">
        <w:rPr>
          <w:rFonts w:ascii="Azo Sans Lt" w:hAnsi="Azo Sans Lt" w:cstheme="minorHAnsi"/>
          <w:sz w:val="22"/>
          <w:szCs w:val="22"/>
          <w:lang w:val="pt-PT"/>
        </w:rPr>
        <w:t>SEXTA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7D60B05"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bookmarkStart w:id="2" w:name="_Hlk102642787"/>
      <w:r w:rsidR="001D32DF" w:rsidRPr="0075018C">
        <w:rPr>
          <w:rFonts w:ascii="Azo Sans Lt" w:hAnsi="Azo Sans Lt" w:cstheme="minorHAnsi"/>
          <w:sz w:val="22"/>
          <w:szCs w:val="22"/>
        </w:rPr>
        <w:t xml:space="preserve">CLÁUSULA DÉCIMA </w:t>
      </w:r>
      <w:r w:rsidR="006D517C">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051F0E72"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6D517C">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1B8E683A"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6D517C">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14E7CC1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945157">
        <w:rPr>
          <w:rFonts w:ascii="Azo Sans Lt" w:hAnsi="Azo Sans Lt" w:cstheme="minorHAnsi"/>
          <w:sz w:val="22"/>
          <w:szCs w:val="22"/>
        </w:rPr>
        <w:t xml:space="preserve">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46D17E9A" w14:textId="77777777" w:rsidR="00A75B6C" w:rsidRDefault="00A75B6C" w:rsidP="00A75B6C">
      <w:pPr>
        <w:widowControl/>
        <w:autoSpaceDE/>
        <w:autoSpaceDN/>
        <w:spacing w:before="120" w:after="120"/>
        <w:jc w:val="both"/>
        <w:rPr>
          <w:rFonts w:ascii="Azo Sans Lt" w:hAnsi="Azo Sans Lt" w:cstheme="minorHAnsi"/>
        </w:rPr>
      </w:pPr>
    </w:p>
    <w:p w14:paraId="26368875" w14:textId="6FE89D15" w:rsidR="000F2826" w:rsidRDefault="001D32DF" w:rsidP="002A7884">
      <w:pPr>
        <w:spacing w:after="120" w:line="360" w:lineRule="auto"/>
        <w:ind w:right="-15"/>
        <w:jc w:val="center"/>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5E18F1B2" w14:textId="16FAAD82" w:rsidR="00A75B6C" w:rsidRDefault="001D32DF" w:rsidP="000C2889">
      <w:pPr>
        <w:spacing w:after="120"/>
        <w:jc w:val="center"/>
        <w:rPr>
          <w:rFonts w:ascii="Azo Sans Lt" w:hAnsi="Azo Sans Lt" w:cstheme="minorHAnsi"/>
          <w:bCs/>
        </w:rPr>
      </w:pPr>
      <w:r w:rsidRPr="0075018C">
        <w:rPr>
          <w:rFonts w:ascii="Azo Sans Lt" w:hAnsi="Azo Sans Lt" w:cstheme="minorHAnsi"/>
          <w:bCs/>
        </w:rPr>
        <w:t>Responsável legal da CONTRATANTE</w:t>
      </w:r>
    </w:p>
    <w:p w14:paraId="29DF235A" w14:textId="705C0657" w:rsidR="002A7884" w:rsidRDefault="002A7884" w:rsidP="000C2889">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71B10439" w14:textId="77777777" w:rsidR="00A75B6C" w:rsidRDefault="00A75B6C" w:rsidP="001F44F7">
      <w:pPr>
        <w:spacing w:after="120"/>
        <w:jc w:val="both"/>
        <w:rPr>
          <w:rFonts w:ascii="Azo Sans Lt" w:hAnsi="Azo Sans Lt" w:cstheme="minorHAnsi"/>
        </w:rPr>
      </w:pPr>
    </w:p>
    <w:p w14:paraId="102AB38A" w14:textId="77777777" w:rsidR="00A75B6C" w:rsidRDefault="00A75B6C" w:rsidP="001F44F7">
      <w:pPr>
        <w:spacing w:after="120"/>
        <w:jc w:val="both"/>
        <w:rPr>
          <w:rFonts w:ascii="Azo Sans Lt" w:hAnsi="Azo Sans Lt" w:cstheme="minorHAnsi"/>
        </w:rPr>
      </w:pPr>
    </w:p>
    <w:p w14:paraId="5D57D0AF" w14:textId="2EFBE270"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D1F4A" w14:textId="77777777" w:rsidR="002B48A5" w:rsidRDefault="002B48A5">
      <w:r>
        <w:separator/>
      </w:r>
    </w:p>
  </w:endnote>
  <w:endnote w:type="continuationSeparator" w:id="0">
    <w:p w14:paraId="6D1D6090" w14:textId="77777777" w:rsidR="002B48A5" w:rsidRDefault="002B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riam">
    <w:charset w:val="B1"/>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B8FFE" w14:textId="77777777" w:rsidR="002B48A5" w:rsidRDefault="002B48A5">
      <w:r>
        <w:separator/>
      </w:r>
    </w:p>
  </w:footnote>
  <w:footnote w:type="continuationSeparator" w:id="0">
    <w:p w14:paraId="5DDF16F5" w14:textId="77777777" w:rsidR="002B48A5" w:rsidRDefault="002B4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01C59354" w:rsidR="009F2F85" w:rsidRDefault="002351F6" w:rsidP="00043FA7">
    <w:pPr>
      <w:pStyle w:val="Cabealho"/>
    </w:pPr>
    <w:r>
      <w:rPr>
        <w:noProof/>
      </w:rPr>
      <mc:AlternateContent>
        <mc:Choice Requires="wps">
          <w:drawing>
            <wp:anchor distT="0" distB="0" distL="0" distR="0" simplePos="0" relativeHeight="251659264" behindDoc="1" locked="0" layoutInCell="1" allowOverlap="1" wp14:anchorId="1023FA7D" wp14:editId="1992F2D5">
              <wp:simplePos x="0" y="0"/>
              <wp:positionH relativeFrom="column">
                <wp:posOffset>3909695</wp:posOffset>
              </wp:positionH>
              <wp:positionV relativeFrom="paragraph">
                <wp:posOffset>133350</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04DFE45A" w:rsidR="00043FA7" w:rsidRDefault="00043FA7" w:rsidP="00043FA7">
                          <w:pPr>
                            <w:pStyle w:val="SemEspaamento"/>
                            <w:rPr>
                              <w:rFonts w:cs="Calibri"/>
                              <w:sz w:val="20"/>
                              <w:szCs w:val="20"/>
                            </w:rPr>
                          </w:pPr>
                          <w:r>
                            <w:rPr>
                              <w:rFonts w:cs="Calibri"/>
                              <w:sz w:val="20"/>
                              <w:szCs w:val="20"/>
                            </w:rPr>
                            <w:t xml:space="preserve">PROCESSO Nº: </w:t>
                          </w:r>
                          <w:r w:rsidR="007D189D">
                            <w:rPr>
                              <w:rFonts w:cs="Calibri"/>
                              <w:sz w:val="20"/>
                              <w:szCs w:val="20"/>
                            </w:rPr>
                            <w:t>1</w:t>
                          </w:r>
                          <w:r w:rsidR="005A25F3">
                            <w:rPr>
                              <w:rFonts w:cs="Calibri"/>
                              <w:sz w:val="20"/>
                              <w:szCs w:val="20"/>
                            </w:rPr>
                            <w:t>6.625</w:t>
                          </w:r>
                          <w:r w:rsidR="006E175D">
                            <w:rPr>
                              <w:rFonts w:cs="Calibri"/>
                              <w:sz w:val="20"/>
                              <w:szCs w:val="20"/>
                            </w:rPr>
                            <w:t>/202</w:t>
                          </w:r>
                          <w:r w:rsidR="007D189D">
                            <w:rPr>
                              <w:rFonts w:cs="Calibri"/>
                              <w:sz w:val="20"/>
                              <w:szCs w:val="20"/>
                            </w:rPr>
                            <w:t>3</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0.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" strokeweight=".26mm">
              <v:stroke joinstyle="round"/>
              <v:path arrowok="t"/>
              <v:textbox>
                <w:txbxContent>
                  <w:p w14:paraId="6F346666" w14:textId="04DFE45A" w:rsidR="00043FA7" w:rsidRDefault="00043FA7" w:rsidP="00043FA7">
                    <w:pPr>
                      <w:pStyle w:val="SemEspaamento"/>
                      <w:rPr>
                        <w:rFonts w:cs="Calibri"/>
                        <w:sz w:val="20"/>
                        <w:szCs w:val="20"/>
                      </w:rPr>
                    </w:pPr>
                    <w:r>
                      <w:rPr>
                        <w:rFonts w:cs="Calibri"/>
                        <w:sz w:val="20"/>
                        <w:szCs w:val="20"/>
                      </w:rPr>
                      <w:t xml:space="preserve">PROCESSO Nº: </w:t>
                    </w:r>
                    <w:r w:rsidR="007D189D">
                      <w:rPr>
                        <w:rFonts w:cs="Calibri"/>
                        <w:sz w:val="20"/>
                        <w:szCs w:val="20"/>
                      </w:rPr>
                      <w:t>1</w:t>
                    </w:r>
                    <w:r w:rsidR="005A25F3">
                      <w:rPr>
                        <w:rFonts w:cs="Calibri"/>
                        <w:sz w:val="20"/>
                        <w:szCs w:val="20"/>
                      </w:rPr>
                      <w:t>6.625</w:t>
                    </w:r>
                    <w:r w:rsidR="006E175D">
                      <w:rPr>
                        <w:rFonts w:cs="Calibri"/>
                        <w:sz w:val="20"/>
                        <w:szCs w:val="20"/>
                      </w:rPr>
                      <w:t>/202</w:t>
                    </w:r>
                    <w:r w:rsidR="007D189D">
                      <w:rPr>
                        <w:rFonts w:cs="Calibri"/>
                        <w:sz w:val="20"/>
                        <w:szCs w:val="20"/>
                      </w:rPr>
                      <w:t>3</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r w:rsidR="00043FA7">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6D2380A7" w:rsidR="00043FA7" w:rsidRDefault="00043FA7" w:rsidP="00043FA7">
    <w:pPr>
      <w:pStyle w:val="Cabealho"/>
    </w:pPr>
  </w:p>
  <w:p w14:paraId="514B5829" w14:textId="5C494414"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C350DA8"/>
    <w:multiLevelType w:val="multilevel"/>
    <w:tmpl w:val="39EC7BB8"/>
    <w:lvl w:ilvl="0">
      <w:start w:val="4"/>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743D1B38"/>
    <w:multiLevelType w:val="hybridMultilevel"/>
    <w:tmpl w:val="E75AF66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83D1BF1"/>
    <w:multiLevelType w:val="multilevel"/>
    <w:tmpl w:val="2D0EE5D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FA24137"/>
    <w:multiLevelType w:val="multilevel"/>
    <w:tmpl w:val="5DE803F6"/>
    <w:lvl w:ilvl="0">
      <w:start w:val="1"/>
      <w:numFmt w:val="decimal"/>
      <w:lvlText w:val="%1."/>
      <w:lvlJc w:val="left"/>
      <w:pPr>
        <w:ind w:left="844" w:hanging="277"/>
      </w:pPr>
      <w:rPr>
        <w:rFonts w:ascii="Azo Sans Md" w:hAnsi="Azo Sans Md" w:hint="default"/>
        <w:b/>
        <w:bCs/>
        <w:spacing w:val="-2"/>
        <w:w w:val="115"/>
        <w:sz w:val="22"/>
        <w:szCs w:val="22"/>
        <w:lang w:val="pt-PT" w:eastAsia="pt-PT" w:bidi="pt-PT"/>
      </w:rPr>
    </w:lvl>
    <w:lvl w:ilvl="1">
      <w:start w:val="1"/>
      <w:numFmt w:val="decimal"/>
      <w:lvlText w:val="%1.%2."/>
      <w:lvlJc w:val="left"/>
      <w:pPr>
        <w:ind w:left="595" w:hanging="483"/>
      </w:pPr>
      <w:rPr>
        <w:rFonts w:ascii="Azo Sans Lt" w:eastAsia="Gill Sans MT" w:hAnsi="Azo Sans Lt" w:cs="Gill Sans MT" w:hint="default"/>
        <w:b w:val="0"/>
        <w:bCs w:val="0"/>
        <w:spacing w:val="-4"/>
        <w:w w:val="115"/>
        <w:sz w:val="22"/>
        <w:szCs w:val="22"/>
        <w:lang w:val="pt-PT" w:eastAsia="pt-PT" w:bidi="pt-PT"/>
      </w:rPr>
    </w:lvl>
    <w:lvl w:ilvl="2">
      <w:numFmt w:val="bullet"/>
      <w:lvlText w:val="•"/>
      <w:lvlJc w:val="left"/>
      <w:pPr>
        <w:ind w:left="1694" w:hanging="483"/>
      </w:pPr>
      <w:rPr>
        <w:rFonts w:hint="default"/>
        <w:lang w:val="pt-PT" w:eastAsia="pt-PT" w:bidi="pt-PT"/>
      </w:rPr>
    </w:lvl>
    <w:lvl w:ilvl="3">
      <w:numFmt w:val="bullet"/>
      <w:lvlText w:val="•"/>
      <w:lvlJc w:val="left"/>
      <w:pPr>
        <w:ind w:left="2788" w:hanging="483"/>
      </w:pPr>
      <w:rPr>
        <w:rFonts w:hint="default"/>
        <w:lang w:val="pt-PT" w:eastAsia="pt-PT" w:bidi="pt-PT"/>
      </w:rPr>
    </w:lvl>
    <w:lvl w:ilvl="4">
      <w:numFmt w:val="bullet"/>
      <w:lvlText w:val="•"/>
      <w:lvlJc w:val="left"/>
      <w:pPr>
        <w:ind w:left="3882" w:hanging="483"/>
      </w:pPr>
      <w:rPr>
        <w:rFonts w:hint="default"/>
        <w:lang w:val="pt-PT" w:eastAsia="pt-PT" w:bidi="pt-PT"/>
      </w:rPr>
    </w:lvl>
    <w:lvl w:ilvl="5">
      <w:numFmt w:val="bullet"/>
      <w:lvlText w:val="•"/>
      <w:lvlJc w:val="left"/>
      <w:pPr>
        <w:ind w:left="4976" w:hanging="483"/>
      </w:pPr>
      <w:rPr>
        <w:rFonts w:hint="default"/>
        <w:lang w:val="pt-PT" w:eastAsia="pt-PT" w:bidi="pt-PT"/>
      </w:rPr>
    </w:lvl>
    <w:lvl w:ilvl="6">
      <w:numFmt w:val="bullet"/>
      <w:lvlText w:val="•"/>
      <w:lvlJc w:val="left"/>
      <w:pPr>
        <w:ind w:left="6070" w:hanging="483"/>
      </w:pPr>
      <w:rPr>
        <w:rFonts w:hint="default"/>
        <w:lang w:val="pt-PT" w:eastAsia="pt-PT" w:bidi="pt-PT"/>
      </w:rPr>
    </w:lvl>
    <w:lvl w:ilvl="7">
      <w:numFmt w:val="bullet"/>
      <w:lvlText w:val="•"/>
      <w:lvlJc w:val="left"/>
      <w:pPr>
        <w:ind w:left="7164" w:hanging="483"/>
      </w:pPr>
      <w:rPr>
        <w:rFonts w:hint="default"/>
        <w:lang w:val="pt-PT" w:eastAsia="pt-PT" w:bidi="pt-PT"/>
      </w:rPr>
    </w:lvl>
    <w:lvl w:ilvl="8">
      <w:numFmt w:val="bullet"/>
      <w:lvlText w:val="•"/>
      <w:lvlJc w:val="left"/>
      <w:pPr>
        <w:ind w:left="8258" w:hanging="483"/>
      </w:pPr>
      <w:rPr>
        <w:rFonts w:hint="default"/>
        <w:lang w:val="pt-PT" w:eastAsia="pt-PT" w:bidi="pt-PT"/>
      </w:r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3"/>
  </w:num>
  <w:num w:numId="13">
    <w:abstractNumId w:val="13"/>
  </w:num>
  <w:num w:numId="14">
    <w:abstractNumId w:val="26"/>
  </w:num>
  <w:num w:numId="15">
    <w:abstractNumId w:val="3"/>
  </w:num>
  <w:num w:numId="16">
    <w:abstractNumId w:val="10"/>
  </w:num>
  <w:num w:numId="17">
    <w:abstractNumId w:val="6"/>
  </w:num>
  <w:num w:numId="18">
    <w:abstractNumId w:val="24"/>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25"/>
  </w:num>
  <w:num w:numId="32">
    <w:abstractNumId w:val="22"/>
  </w:num>
  <w:num w:numId="33">
    <w:abstractNumId w:val="27"/>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92735"/>
    <w:rsid w:val="00097D7B"/>
    <w:rsid w:val="000B23ED"/>
    <w:rsid w:val="000C2889"/>
    <w:rsid w:val="000D6176"/>
    <w:rsid w:val="000E4CF2"/>
    <w:rsid w:val="000E6000"/>
    <w:rsid w:val="000E6DAE"/>
    <w:rsid w:val="000F0F17"/>
    <w:rsid w:val="000F2826"/>
    <w:rsid w:val="00100FEB"/>
    <w:rsid w:val="0010179C"/>
    <w:rsid w:val="00102A53"/>
    <w:rsid w:val="001079D7"/>
    <w:rsid w:val="001272CC"/>
    <w:rsid w:val="00130DCF"/>
    <w:rsid w:val="00165D70"/>
    <w:rsid w:val="00185DBF"/>
    <w:rsid w:val="00193060"/>
    <w:rsid w:val="001A0D41"/>
    <w:rsid w:val="001B5037"/>
    <w:rsid w:val="001D1890"/>
    <w:rsid w:val="001D32DF"/>
    <w:rsid w:val="001D4AC3"/>
    <w:rsid w:val="001E3568"/>
    <w:rsid w:val="001F44F7"/>
    <w:rsid w:val="00204C8A"/>
    <w:rsid w:val="0020598F"/>
    <w:rsid w:val="00227DC7"/>
    <w:rsid w:val="002351F6"/>
    <w:rsid w:val="00243E36"/>
    <w:rsid w:val="002556A7"/>
    <w:rsid w:val="002573CE"/>
    <w:rsid w:val="00257889"/>
    <w:rsid w:val="002640BF"/>
    <w:rsid w:val="002663BD"/>
    <w:rsid w:val="00276B5D"/>
    <w:rsid w:val="0028199E"/>
    <w:rsid w:val="0028504B"/>
    <w:rsid w:val="002A7071"/>
    <w:rsid w:val="002A7884"/>
    <w:rsid w:val="002B48A5"/>
    <w:rsid w:val="002B74B6"/>
    <w:rsid w:val="002E61B5"/>
    <w:rsid w:val="002F21AD"/>
    <w:rsid w:val="002F2CC8"/>
    <w:rsid w:val="00315F43"/>
    <w:rsid w:val="0032285B"/>
    <w:rsid w:val="00326DB2"/>
    <w:rsid w:val="003370B0"/>
    <w:rsid w:val="00347799"/>
    <w:rsid w:val="0035743C"/>
    <w:rsid w:val="003578AC"/>
    <w:rsid w:val="00357F0F"/>
    <w:rsid w:val="00380F2F"/>
    <w:rsid w:val="00382DD6"/>
    <w:rsid w:val="00385663"/>
    <w:rsid w:val="00390F82"/>
    <w:rsid w:val="003920AB"/>
    <w:rsid w:val="00392DE5"/>
    <w:rsid w:val="0039504F"/>
    <w:rsid w:val="003A1163"/>
    <w:rsid w:val="003B2A0D"/>
    <w:rsid w:val="003B4554"/>
    <w:rsid w:val="003B5284"/>
    <w:rsid w:val="003B53CC"/>
    <w:rsid w:val="003C14A5"/>
    <w:rsid w:val="003C15BE"/>
    <w:rsid w:val="003C1DC7"/>
    <w:rsid w:val="003C42AE"/>
    <w:rsid w:val="003E4A77"/>
    <w:rsid w:val="00403108"/>
    <w:rsid w:val="0041063D"/>
    <w:rsid w:val="00413F35"/>
    <w:rsid w:val="00417717"/>
    <w:rsid w:val="00421C45"/>
    <w:rsid w:val="00430C16"/>
    <w:rsid w:val="00436587"/>
    <w:rsid w:val="00461F93"/>
    <w:rsid w:val="00466BF6"/>
    <w:rsid w:val="0047582C"/>
    <w:rsid w:val="0048007A"/>
    <w:rsid w:val="00482A09"/>
    <w:rsid w:val="004959AC"/>
    <w:rsid w:val="004A09DC"/>
    <w:rsid w:val="004B61AB"/>
    <w:rsid w:val="004D3E0A"/>
    <w:rsid w:val="004E079B"/>
    <w:rsid w:val="004E221E"/>
    <w:rsid w:val="005041CA"/>
    <w:rsid w:val="005241B8"/>
    <w:rsid w:val="005258A4"/>
    <w:rsid w:val="005466C3"/>
    <w:rsid w:val="00546D34"/>
    <w:rsid w:val="005473F3"/>
    <w:rsid w:val="00563586"/>
    <w:rsid w:val="005A25F3"/>
    <w:rsid w:val="005B09CF"/>
    <w:rsid w:val="005C402B"/>
    <w:rsid w:val="005C4C19"/>
    <w:rsid w:val="005D7CC0"/>
    <w:rsid w:val="005E2922"/>
    <w:rsid w:val="005E753D"/>
    <w:rsid w:val="005F5E8D"/>
    <w:rsid w:val="005F6177"/>
    <w:rsid w:val="00604469"/>
    <w:rsid w:val="00617943"/>
    <w:rsid w:val="00617E05"/>
    <w:rsid w:val="00620E2E"/>
    <w:rsid w:val="0062482D"/>
    <w:rsid w:val="006306EF"/>
    <w:rsid w:val="00637E49"/>
    <w:rsid w:val="00641674"/>
    <w:rsid w:val="00645026"/>
    <w:rsid w:val="006658BB"/>
    <w:rsid w:val="006709DA"/>
    <w:rsid w:val="0067457F"/>
    <w:rsid w:val="00691421"/>
    <w:rsid w:val="006B62AB"/>
    <w:rsid w:val="006C4070"/>
    <w:rsid w:val="006D517C"/>
    <w:rsid w:val="006D6562"/>
    <w:rsid w:val="006E175D"/>
    <w:rsid w:val="006E5958"/>
    <w:rsid w:val="007168B3"/>
    <w:rsid w:val="007270C7"/>
    <w:rsid w:val="00735ADD"/>
    <w:rsid w:val="0075018C"/>
    <w:rsid w:val="007506FB"/>
    <w:rsid w:val="00763341"/>
    <w:rsid w:val="00764ACE"/>
    <w:rsid w:val="00766A0D"/>
    <w:rsid w:val="00773AA0"/>
    <w:rsid w:val="007767C7"/>
    <w:rsid w:val="007852BD"/>
    <w:rsid w:val="00785D66"/>
    <w:rsid w:val="0079421E"/>
    <w:rsid w:val="007D189D"/>
    <w:rsid w:val="007F7B13"/>
    <w:rsid w:val="008040AC"/>
    <w:rsid w:val="00807024"/>
    <w:rsid w:val="00814BB1"/>
    <w:rsid w:val="0082060C"/>
    <w:rsid w:val="008311C9"/>
    <w:rsid w:val="00831574"/>
    <w:rsid w:val="00837319"/>
    <w:rsid w:val="008375B8"/>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19E3"/>
    <w:rsid w:val="008E4F62"/>
    <w:rsid w:val="008E65D4"/>
    <w:rsid w:val="008E6D4F"/>
    <w:rsid w:val="009039E8"/>
    <w:rsid w:val="009063BB"/>
    <w:rsid w:val="009162EB"/>
    <w:rsid w:val="009213D5"/>
    <w:rsid w:val="009410BC"/>
    <w:rsid w:val="00945157"/>
    <w:rsid w:val="009553C6"/>
    <w:rsid w:val="00971993"/>
    <w:rsid w:val="00974672"/>
    <w:rsid w:val="00974A4B"/>
    <w:rsid w:val="00975829"/>
    <w:rsid w:val="009877CB"/>
    <w:rsid w:val="009D6775"/>
    <w:rsid w:val="009F2AD8"/>
    <w:rsid w:val="009F2F85"/>
    <w:rsid w:val="009F3790"/>
    <w:rsid w:val="009F6D10"/>
    <w:rsid w:val="00A00590"/>
    <w:rsid w:val="00A06D2F"/>
    <w:rsid w:val="00A111BA"/>
    <w:rsid w:val="00A14FF7"/>
    <w:rsid w:val="00A229E2"/>
    <w:rsid w:val="00A327A0"/>
    <w:rsid w:val="00A45D4A"/>
    <w:rsid w:val="00A74974"/>
    <w:rsid w:val="00A75B6C"/>
    <w:rsid w:val="00A77C73"/>
    <w:rsid w:val="00A85E51"/>
    <w:rsid w:val="00A87002"/>
    <w:rsid w:val="00A92914"/>
    <w:rsid w:val="00A96E16"/>
    <w:rsid w:val="00AC69AD"/>
    <w:rsid w:val="00AD022C"/>
    <w:rsid w:val="00AE7153"/>
    <w:rsid w:val="00AF4EE0"/>
    <w:rsid w:val="00AF5DD4"/>
    <w:rsid w:val="00AF6B88"/>
    <w:rsid w:val="00B02294"/>
    <w:rsid w:val="00B03288"/>
    <w:rsid w:val="00B061E6"/>
    <w:rsid w:val="00B12062"/>
    <w:rsid w:val="00B13DC2"/>
    <w:rsid w:val="00B23566"/>
    <w:rsid w:val="00B25D0B"/>
    <w:rsid w:val="00B26F60"/>
    <w:rsid w:val="00B27105"/>
    <w:rsid w:val="00B30CA0"/>
    <w:rsid w:val="00B468AC"/>
    <w:rsid w:val="00B538FD"/>
    <w:rsid w:val="00B676BB"/>
    <w:rsid w:val="00B721DC"/>
    <w:rsid w:val="00B7341B"/>
    <w:rsid w:val="00B7730E"/>
    <w:rsid w:val="00B92016"/>
    <w:rsid w:val="00B923BE"/>
    <w:rsid w:val="00B963D9"/>
    <w:rsid w:val="00BA1327"/>
    <w:rsid w:val="00BA2AC6"/>
    <w:rsid w:val="00BA68EF"/>
    <w:rsid w:val="00BB36D3"/>
    <w:rsid w:val="00BB3B8F"/>
    <w:rsid w:val="00BB527C"/>
    <w:rsid w:val="00BB61D2"/>
    <w:rsid w:val="00BE3C4E"/>
    <w:rsid w:val="00BE3CE6"/>
    <w:rsid w:val="00BF3141"/>
    <w:rsid w:val="00C04CEB"/>
    <w:rsid w:val="00C10F2B"/>
    <w:rsid w:val="00C12366"/>
    <w:rsid w:val="00C44D4F"/>
    <w:rsid w:val="00C55376"/>
    <w:rsid w:val="00C55896"/>
    <w:rsid w:val="00C74C9C"/>
    <w:rsid w:val="00C81401"/>
    <w:rsid w:val="00C81B18"/>
    <w:rsid w:val="00C91A0C"/>
    <w:rsid w:val="00CA5F9F"/>
    <w:rsid w:val="00CB6468"/>
    <w:rsid w:val="00CB7984"/>
    <w:rsid w:val="00CC0B05"/>
    <w:rsid w:val="00CC288A"/>
    <w:rsid w:val="00CC666F"/>
    <w:rsid w:val="00CE1CB6"/>
    <w:rsid w:val="00CF467B"/>
    <w:rsid w:val="00D06A05"/>
    <w:rsid w:val="00D22F45"/>
    <w:rsid w:val="00D249B9"/>
    <w:rsid w:val="00D2776D"/>
    <w:rsid w:val="00D27AFB"/>
    <w:rsid w:val="00D7299B"/>
    <w:rsid w:val="00D73E45"/>
    <w:rsid w:val="00D84C1E"/>
    <w:rsid w:val="00D9158F"/>
    <w:rsid w:val="00DA0D02"/>
    <w:rsid w:val="00DB6EA1"/>
    <w:rsid w:val="00DD641A"/>
    <w:rsid w:val="00E12775"/>
    <w:rsid w:val="00E151D6"/>
    <w:rsid w:val="00E26E61"/>
    <w:rsid w:val="00E27B1B"/>
    <w:rsid w:val="00E30BFB"/>
    <w:rsid w:val="00E33636"/>
    <w:rsid w:val="00E40A97"/>
    <w:rsid w:val="00E4547A"/>
    <w:rsid w:val="00E73173"/>
    <w:rsid w:val="00E77501"/>
    <w:rsid w:val="00E87FEF"/>
    <w:rsid w:val="00EB35BD"/>
    <w:rsid w:val="00EC7959"/>
    <w:rsid w:val="00EE2035"/>
    <w:rsid w:val="00EF6AA9"/>
    <w:rsid w:val="00F27B71"/>
    <w:rsid w:val="00F30FF9"/>
    <w:rsid w:val="00F336C7"/>
    <w:rsid w:val="00F37352"/>
    <w:rsid w:val="00F40051"/>
    <w:rsid w:val="00F45FFC"/>
    <w:rsid w:val="00F727DE"/>
    <w:rsid w:val="00F829FD"/>
    <w:rsid w:val="00FB230B"/>
    <w:rsid w:val="00FD2171"/>
    <w:rsid w:val="00FD7FE7"/>
    <w:rsid w:val="00FE6985"/>
    <w:rsid w:val="00FF7286"/>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Contedodatabela">
    <w:name w:val="Conteúdo da tabela"/>
    <w:basedOn w:val="Normal"/>
    <w:qFormat/>
    <w:rsid w:val="00B7341B"/>
    <w:pPr>
      <w:widowControl/>
      <w:suppressLineNumbers/>
      <w:autoSpaceDE/>
      <w:autoSpaceDN/>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18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01CD54B9-FFA0-4456-B399-6004E49E25C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9</Pages>
  <Words>2973</Words>
  <Characters>16059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205</cp:revision>
  <cp:lastPrinted>2023-12-20T18:08:00Z</cp:lastPrinted>
  <dcterms:created xsi:type="dcterms:W3CDTF">2021-07-06T19:42:00Z</dcterms:created>
  <dcterms:modified xsi:type="dcterms:W3CDTF">2023-12-20T18:08:00Z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